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1F5" w:rsidRDefault="001766D9" w:rsidP="00CC370F">
      <w:pPr>
        <w:spacing w:after="120"/>
        <w:jc w:val="both"/>
        <w:rPr>
          <w:rFonts w:ascii="Arial" w:hAnsi="Arial" w:cs="Arial"/>
          <w:b/>
          <w:color w:val="0070C0"/>
          <w:sz w:val="28"/>
          <w:szCs w:val="28"/>
        </w:rPr>
      </w:pPr>
      <w:r w:rsidRPr="001766D9">
        <w:rPr>
          <w:rFonts w:ascii="Arial" w:hAnsi="Arial" w:cs="Arial"/>
          <w:b/>
          <w:color w:val="0070C0"/>
          <w:sz w:val="28"/>
          <w:szCs w:val="28"/>
        </w:rPr>
        <w:t>Analýza stavu výzkumu, vývoje a inovací v České republice a jejich srovnání se zahraničím v roce 2014</w:t>
      </w:r>
      <w:r>
        <w:rPr>
          <w:rFonts w:ascii="Arial" w:hAnsi="Arial" w:cs="Arial"/>
          <w:b/>
          <w:color w:val="0070C0"/>
          <w:sz w:val="28"/>
          <w:szCs w:val="28"/>
        </w:rPr>
        <w:t xml:space="preserve"> </w:t>
      </w:r>
      <w:r w:rsidR="00D75571">
        <w:rPr>
          <w:rFonts w:ascii="Arial" w:hAnsi="Arial" w:cs="Arial"/>
          <w:b/>
          <w:color w:val="0070C0"/>
          <w:sz w:val="28"/>
          <w:szCs w:val="28"/>
        </w:rPr>
        <w:t>– průvodní informace</w:t>
      </w:r>
      <w:r w:rsidR="00060AD2">
        <w:rPr>
          <w:rFonts w:ascii="Arial" w:hAnsi="Arial" w:cs="Arial"/>
          <w:b/>
          <w:color w:val="0070C0"/>
          <w:sz w:val="28"/>
          <w:szCs w:val="28"/>
        </w:rPr>
        <w:t xml:space="preserve"> k materiálu</w:t>
      </w:r>
    </w:p>
    <w:p w:rsidR="00796D4B" w:rsidRPr="00FD5929" w:rsidRDefault="00796D4B" w:rsidP="00CC370F">
      <w:pPr>
        <w:spacing w:after="120"/>
        <w:jc w:val="both"/>
        <w:rPr>
          <w:rFonts w:ascii="Arial" w:hAnsi="Arial" w:cs="Arial"/>
        </w:rPr>
      </w:pPr>
    </w:p>
    <w:p w:rsidR="00B861F5" w:rsidRPr="00FD5929" w:rsidRDefault="00B861F5" w:rsidP="00796D4B">
      <w:pPr>
        <w:pStyle w:val="Odstavecseseznamem"/>
        <w:numPr>
          <w:ilvl w:val="0"/>
          <w:numId w:val="21"/>
        </w:numPr>
        <w:spacing w:after="120"/>
        <w:jc w:val="both"/>
        <w:rPr>
          <w:rFonts w:ascii="Arial" w:hAnsi="Arial" w:cs="Arial"/>
          <w:b/>
          <w:u w:val="single"/>
        </w:rPr>
      </w:pPr>
      <w:r w:rsidRPr="00FD5929">
        <w:rPr>
          <w:rFonts w:ascii="Arial" w:hAnsi="Arial" w:cs="Arial"/>
          <w:b/>
          <w:u w:val="single"/>
        </w:rPr>
        <w:t>Úvod</w:t>
      </w:r>
    </w:p>
    <w:p w:rsidR="001766D9" w:rsidRPr="00FD5929" w:rsidRDefault="001766D9" w:rsidP="00CC370F">
      <w:pPr>
        <w:spacing w:after="120"/>
        <w:jc w:val="both"/>
        <w:rPr>
          <w:rFonts w:ascii="Arial" w:hAnsi="Arial" w:cs="Arial"/>
          <w:sz w:val="22"/>
          <w:szCs w:val="22"/>
        </w:rPr>
      </w:pPr>
      <w:r w:rsidRPr="00FD5929">
        <w:rPr>
          <w:rFonts w:ascii="Arial" w:hAnsi="Arial" w:cs="Arial"/>
          <w:sz w:val="22"/>
          <w:szCs w:val="22"/>
        </w:rPr>
        <w:t>Analýzu stavu výzkumu, vývoje a inovací v České republice a jejich srovnání se zahraničím v</w:t>
      </w:r>
      <w:r w:rsidR="000F58D1">
        <w:rPr>
          <w:rFonts w:ascii="Arial" w:hAnsi="Arial" w:cs="Arial"/>
          <w:sz w:val="22"/>
          <w:szCs w:val="22"/>
        </w:rPr>
        <w:t> </w:t>
      </w:r>
      <w:r w:rsidRPr="00FD5929">
        <w:rPr>
          <w:rFonts w:ascii="Arial" w:hAnsi="Arial" w:cs="Arial"/>
          <w:sz w:val="22"/>
          <w:szCs w:val="22"/>
        </w:rPr>
        <w:t>roce 2014 (dále jen „Analýza“) zpracovává každoročně Rada pro výzkum, vývoj a inovace (dále jen „Rada“) podle § 35 odst. 2 písm. g) zákona 130/2002 Sb. o podpoře výzkumu, experimentálního vývoje a inovací z veřejných prostředků a o změně některých souvisejících zákonů (zákon o podpoře výzkumu, experimentálního vývoje a inovací) ve znění pozdějších změn.</w:t>
      </w:r>
    </w:p>
    <w:p w:rsidR="001766D9" w:rsidRPr="00FD5929" w:rsidRDefault="001766D9" w:rsidP="00CC370F">
      <w:pPr>
        <w:spacing w:after="120"/>
        <w:jc w:val="both"/>
        <w:rPr>
          <w:rFonts w:ascii="Arial" w:hAnsi="Arial" w:cs="Arial"/>
          <w:sz w:val="22"/>
          <w:szCs w:val="22"/>
        </w:rPr>
      </w:pPr>
      <w:r w:rsidRPr="00FD5929">
        <w:rPr>
          <w:rFonts w:ascii="Arial" w:hAnsi="Arial" w:cs="Arial"/>
          <w:sz w:val="22"/>
          <w:szCs w:val="22"/>
        </w:rPr>
        <w:t xml:space="preserve">Analýza byla </w:t>
      </w:r>
      <w:r w:rsidRPr="00FD5929">
        <w:rPr>
          <w:rFonts w:ascii="Arial" w:hAnsi="Arial" w:cs="Arial"/>
          <w:b/>
          <w:sz w:val="22"/>
          <w:szCs w:val="22"/>
        </w:rPr>
        <w:t>v minulých letech zadávána externímu zpracovateli</w:t>
      </w:r>
      <w:r w:rsidRPr="00FD5929">
        <w:rPr>
          <w:rFonts w:ascii="Arial" w:hAnsi="Arial" w:cs="Arial"/>
          <w:sz w:val="22"/>
          <w:szCs w:val="22"/>
        </w:rPr>
        <w:t xml:space="preserve"> na základě veřejné zakázky, přičemž </w:t>
      </w:r>
      <w:r w:rsidRPr="00FD5929">
        <w:rPr>
          <w:rFonts w:ascii="Arial" w:hAnsi="Arial" w:cs="Arial"/>
          <w:b/>
          <w:sz w:val="22"/>
          <w:szCs w:val="22"/>
        </w:rPr>
        <w:t xml:space="preserve">výsledný výstup neodpovídá současným potřebám řízení </w:t>
      </w:r>
      <w:proofErr w:type="spellStart"/>
      <w:r w:rsidRPr="00FD5929">
        <w:rPr>
          <w:rFonts w:ascii="Arial" w:hAnsi="Arial" w:cs="Arial"/>
          <w:b/>
          <w:sz w:val="22"/>
          <w:szCs w:val="22"/>
        </w:rPr>
        <w:t>VaVaI</w:t>
      </w:r>
      <w:proofErr w:type="spellEnd"/>
      <w:r w:rsidR="00706639">
        <w:rPr>
          <w:rFonts w:ascii="Arial" w:hAnsi="Arial" w:cs="Arial"/>
          <w:b/>
          <w:sz w:val="22"/>
          <w:szCs w:val="22"/>
        </w:rPr>
        <w:t xml:space="preserve">, </w:t>
      </w:r>
      <w:r w:rsidR="00706639" w:rsidRPr="00706639">
        <w:rPr>
          <w:rFonts w:ascii="Arial" w:hAnsi="Arial" w:cs="Arial"/>
          <w:sz w:val="22"/>
          <w:szCs w:val="22"/>
        </w:rPr>
        <w:t>neboť se jednalo převážně o formální komentář k statistikám ČSÚ</w:t>
      </w:r>
      <w:r w:rsidRPr="00706639">
        <w:rPr>
          <w:rFonts w:ascii="Arial" w:hAnsi="Arial" w:cs="Arial"/>
          <w:sz w:val="22"/>
          <w:szCs w:val="22"/>
        </w:rPr>
        <w:t>.</w:t>
      </w:r>
      <w:r w:rsidR="002E30EE" w:rsidRPr="00FD5929">
        <w:rPr>
          <w:rFonts w:ascii="Arial" w:hAnsi="Arial" w:cs="Arial"/>
          <w:sz w:val="22"/>
          <w:szCs w:val="22"/>
        </w:rPr>
        <w:t xml:space="preserve"> Rada na svém 302. z</w:t>
      </w:r>
      <w:r w:rsidRPr="00FD5929">
        <w:rPr>
          <w:rFonts w:ascii="Arial" w:hAnsi="Arial" w:cs="Arial"/>
          <w:sz w:val="22"/>
          <w:szCs w:val="22"/>
        </w:rPr>
        <w:t xml:space="preserve">asedání v únoru 2015 schválila změnu v přístupu k realizaci úkolu, tj. zejména skutečnost, že </w:t>
      </w:r>
      <w:r w:rsidRPr="00FD5929">
        <w:rPr>
          <w:rFonts w:ascii="Arial" w:hAnsi="Arial" w:cs="Arial"/>
          <w:b/>
          <w:sz w:val="22"/>
          <w:szCs w:val="22"/>
        </w:rPr>
        <w:t>dokument bude vytvořen v Odboru analýz a koordinace vědy, výzkumu a inovací Úřadu vlády ČR.</w:t>
      </w:r>
      <w:r w:rsidR="00D962CC" w:rsidRPr="00FD5929">
        <w:rPr>
          <w:rFonts w:ascii="Arial" w:hAnsi="Arial" w:cs="Arial"/>
          <w:b/>
          <w:sz w:val="22"/>
          <w:szCs w:val="22"/>
        </w:rPr>
        <w:t xml:space="preserve"> </w:t>
      </w:r>
    </w:p>
    <w:p w:rsidR="00D613A7" w:rsidRPr="001F4B04" w:rsidRDefault="000842CB" w:rsidP="00CC370F">
      <w:pPr>
        <w:spacing w:after="120"/>
        <w:jc w:val="both"/>
        <w:rPr>
          <w:rFonts w:ascii="Arial" w:hAnsi="Arial" w:cs="Arial"/>
          <w:b/>
          <w:sz w:val="22"/>
          <w:szCs w:val="22"/>
        </w:rPr>
      </w:pPr>
      <w:r w:rsidRPr="00FD5929">
        <w:rPr>
          <w:rFonts w:ascii="Arial" w:hAnsi="Arial" w:cs="Arial"/>
          <w:sz w:val="22"/>
          <w:szCs w:val="22"/>
        </w:rPr>
        <w:t xml:space="preserve">V souladu s cíli dokumentu je </w:t>
      </w:r>
      <w:r w:rsidR="000C7D5B" w:rsidRPr="00FD5929">
        <w:rPr>
          <w:rFonts w:ascii="Arial" w:hAnsi="Arial" w:cs="Arial"/>
          <w:sz w:val="22"/>
          <w:szCs w:val="22"/>
        </w:rPr>
        <w:t xml:space="preserve">přiložená </w:t>
      </w:r>
      <w:r w:rsidR="00D613A7" w:rsidRPr="00FD5929">
        <w:rPr>
          <w:rFonts w:ascii="Arial" w:hAnsi="Arial" w:cs="Arial"/>
          <w:sz w:val="22"/>
          <w:szCs w:val="22"/>
        </w:rPr>
        <w:t>A</w:t>
      </w:r>
      <w:r w:rsidRPr="00FD5929">
        <w:rPr>
          <w:rFonts w:ascii="Arial" w:hAnsi="Arial" w:cs="Arial"/>
          <w:sz w:val="22"/>
          <w:szCs w:val="22"/>
        </w:rPr>
        <w:t xml:space="preserve">nalýza v první úrovni členěna na </w:t>
      </w:r>
      <w:r w:rsidR="00D962CC" w:rsidRPr="00FD5929">
        <w:rPr>
          <w:rFonts w:ascii="Arial" w:hAnsi="Arial" w:cs="Arial"/>
          <w:sz w:val="22"/>
          <w:szCs w:val="22"/>
        </w:rPr>
        <w:t xml:space="preserve">devět </w:t>
      </w:r>
      <w:r w:rsidRPr="00FD5929">
        <w:rPr>
          <w:rFonts w:ascii="Arial" w:hAnsi="Arial" w:cs="Arial"/>
          <w:sz w:val="22"/>
          <w:szCs w:val="22"/>
        </w:rPr>
        <w:t>kapitol</w:t>
      </w:r>
      <w:r w:rsidR="00D613A7" w:rsidRPr="00FD5929">
        <w:rPr>
          <w:rFonts w:ascii="Arial" w:hAnsi="Arial" w:cs="Arial"/>
          <w:sz w:val="22"/>
          <w:szCs w:val="22"/>
        </w:rPr>
        <w:t xml:space="preserve">, které se zaměřují na základní složky systému </w:t>
      </w:r>
      <w:proofErr w:type="spellStart"/>
      <w:r w:rsidR="00D613A7" w:rsidRPr="00FD5929">
        <w:rPr>
          <w:rFonts w:ascii="Arial" w:hAnsi="Arial" w:cs="Arial"/>
          <w:sz w:val="22"/>
          <w:szCs w:val="22"/>
        </w:rPr>
        <w:t>VaVaI</w:t>
      </w:r>
      <w:proofErr w:type="spellEnd"/>
      <w:r w:rsidR="00D613A7" w:rsidRPr="00FD5929">
        <w:rPr>
          <w:rFonts w:ascii="Arial" w:hAnsi="Arial" w:cs="Arial"/>
          <w:sz w:val="22"/>
          <w:szCs w:val="22"/>
        </w:rPr>
        <w:t xml:space="preserve"> a rozpracovávají klíčová témata jejich řízení</w:t>
      </w:r>
      <w:r w:rsidRPr="00FD5929">
        <w:rPr>
          <w:rFonts w:ascii="Arial" w:hAnsi="Arial" w:cs="Arial"/>
          <w:sz w:val="22"/>
          <w:szCs w:val="22"/>
        </w:rPr>
        <w:t xml:space="preserve">. Analýza </w:t>
      </w:r>
      <w:r w:rsidR="00D613A7" w:rsidRPr="00FD5929">
        <w:rPr>
          <w:rFonts w:ascii="Arial" w:hAnsi="Arial" w:cs="Arial"/>
          <w:sz w:val="22"/>
          <w:szCs w:val="22"/>
        </w:rPr>
        <w:t xml:space="preserve">obsahuje </w:t>
      </w:r>
      <w:r w:rsidRPr="00FD5929">
        <w:rPr>
          <w:rFonts w:ascii="Arial" w:hAnsi="Arial" w:cs="Arial"/>
          <w:sz w:val="22"/>
          <w:szCs w:val="22"/>
        </w:rPr>
        <w:t xml:space="preserve">zhodnocení hlavních indikátorů vypovídajících o stavu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v ČR a </w:t>
      </w:r>
      <w:r w:rsidR="002D7761" w:rsidRPr="00FD5929">
        <w:rPr>
          <w:rFonts w:ascii="Arial" w:hAnsi="Arial" w:cs="Arial"/>
          <w:sz w:val="22"/>
          <w:szCs w:val="22"/>
        </w:rPr>
        <w:t xml:space="preserve">jejich </w:t>
      </w:r>
      <w:r w:rsidRPr="00FD5929">
        <w:rPr>
          <w:rFonts w:ascii="Arial" w:hAnsi="Arial" w:cs="Arial"/>
          <w:sz w:val="22"/>
          <w:szCs w:val="22"/>
        </w:rPr>
        <w:t>mezinárodní srovnání</w:t>
      </w:r>
      <w:r w:rsidR="00D613A7" w:rsidRPr="00FD5929">
        <w:rPr>
          <w:rFonts w:ascii="Arial" w:hAnsi="Arial" w:cs="Arial"/>
          <w:sz w:val="22"/>
          <w:szCs w:val="22"/>
        </w:rPr>
        <w:t xml:space="preserve">. </w:t>
      </w:r>
      <w:r w:rsidR="00D613A7" w:rsidRPr="001F4B04">
        <w:rPr>
          <w:rFonts w:ascii="Arial" w:hAnsi="Arial" w:cs="Arial"/>
          <w:b/>
          <w:sz w:val="22"/>
          <w:szCs w:val="22"/>
        </w:rPr>
        <w:t xml:space="preserve">Záměrem tvůrců je </w:t>
      </w:r>
      <w:r w:rsidR="002D7761" w:rsidRPr="001F4B04">
        <w:rPr>
          <w:rFonts w:ascii="Arial" w:hAnsi="Arial" w:cs="Arial"/>
          <w:b/>
          <w:sz w:val="22"/>
          <w:szCs w:val="22"/>
        </w:rPr>
        <w:t xml:space="preserve">částečně </w:t>
      </w:r>
      <w:r w:rsidR="00D613A7" w:rsidRPr="001F4B04">
        <w:rPr>
          <w:rFonts w:ascii="Arial" w:hAnsi="Arial" w:cs="Arial"/>
          <w:b/>
          <w:sz w:val="22"/>
          <w:szCs w:val="22"/>
        </w:rPr>
        <w:t>zachovat kontinuitu dokumentu, proto při stanovení indikátorů využívá obdobné zdroje sekundárních dat, jako předchozí Analýzy.</w:t>
      </w:r>
    </w:p>
    <w:p w:rsidR="00110767" w:rsidRPr="00FD5929" w:rsidRDefault="00D613A7" w:rsidP="00CC370F">
      <w:pPr>
        <w:spacing w:after="120"/>
        <w:jc w:val="both"/>
        <w:rPr>
          <w:rFonts w:ascii="Arial" w:hAnsi="Arial" w:cs="Arial"/>
          <w:sz w:val="22"/>
          <w:szCs w:val="22"/>
        </w:rPr>
      </w:pPr>
      <w:r w:rsidRPr="00FD5929">
        <w:rPr>
          <w:rFonts w:ascii="Arial" w:hAnsi="Arial" w:cs="Arial"/>
          <w:sz w:val="22"/>
          <w:szCs w:val="22"/>
        </w:rPr>
        <w:t xml:space="preserve">V návaznosti na zahájení procesu systémových změn v řízení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na národní úrovni</w:t>
      </w:r>
      <w:r w:rsidR="002A4EA5" w:rsidRPr="00FD5929">
        <w:rPr>
          <w:rFonts w:ascii="Arial" w:hAnsi="Arial" w:cs="Arial"/>
          <w:sz w:val="22"/>
          <w:szCs w:val="22"/>
        </w:rPr>
        <w:t xml:space="preserve"> jsou součástí Analýzy také </w:t>
      </w:r>
      <w:r w:rsidR="002A4EA5" w:rsidRPr="001E1F03">
        <w:rPr>
          <w:rFonts w:ascii="Arial" w:hAnsi="Arial" w:cs="Arial"/>
          <w:b/>
          <w:sz w:val="22"/>
          <w:szCs w:val="22"/>
        </w:rPr>
        <w:t>zcela nové informace primárního charakteru</w:t>
      </w:r>
      <w:r w:rsidR="002A4EA5" w:rsidRPr="00FD5929">
        <w:rPr>
          <w:rFonts w:ascii="Arial" w:hAnsi="Arial" w:cs="Arial"/>
          <w:sz w:val="22"/>
          <w:szCs w:val="22"/>
        </w:rPr>
        <w:t xml:space="preserve">, např. </w:t>
      </w:r>
      <w:r w:rsidRPr="00FD5929">
        <w:rPr>
          <w:rFonts w:ascii="Arial" w:hAnsi="Arial" w:cs="Arial"/>
          <w:sz w:val="22"/>
          <w:szCs w:val="22"/>
        </w:rPr>
        <w:t>hlavní výstupy z jednání tzv. sektorových platforem</w:t>
      </w:r>
      <w:r w:rsidR="002A4EA5" w:rsidRPr="00FD5929">
        <w:rPr>
          <w:rFonts w:ascii="Arial" w:hAnsi="Arial" w:cs="Arial"/>
          <w:sz w:val="22"/>
          <w:szCs w:val="22"/>
        </w:rPr>
        <w:t>, odhady nákladů na provoz tzv. velkých center financovaných z </w:t>
      </w:r>
      <w:proofErr w:type="gramStart"/>
      <w:r w:rsidR="002A4EA5" w:rsidRPr="00FD5929">
        <w:rPr>
          <w:rFonts w:ascii="Arial" w:hAnsi="Arial" w:cs="Arial"/>
          <w:sz w:val="22"/>
          <w:szCs w:val="22"/>
        </w:rPr>
        <w:t>OP</w:t>
      </w:r>
      <w:proofErr w:type="gramEnd"/>
      <w:r w:rsidR="002A4EA5" w:rsidRPr="00FD5929">
        <w:rPr>
          <w:rFonts w:ascii="Arial" w:hAnsi="Arial" w:cs="Arial"/>
          <w:sz w:val="22"/>
          <w:szCs w:val="22"/>
        </w:rPr>
        <w:t xml:space="preserve"> </w:t>
      </w:r>
      <w:proofErr w:type="spellStart"/>
      <w:r w:rsidR="002A4EA5" w:rsidRPr="00FD5929">
        <w:rPr>
          <w:rFonts w:ascii="Arial" w:hAnsi="Arial" w:cs="Arial"/>
          <w:sz w:val="22"/>
          <w:szCs w:val="22"/>
        </w:rPr>
        <w:t>VaVpI</w:t>
      </w:r>
      <w:proofErr w:type="spellEnd"/>
      <w:r w:rsidR="002A4EA5" w:rsidRPr="00FD5929">
        <w:rPr>
          <w:rFonts w:ascii="Arial" w:hAnsi="Arial" w:cs="Arial"/>
          <w:sz w:val="22"/>
          <w:szCs w:val="22"/>
        </w:rPr>
        <w:t xml:space="preserve"> získané od provozovatelů těchto center.</w:t>
      </w:r>
    </w:p>
    <w:p w:rsidR="00742E0C" w:rsidRPr="00FD5929" w:rsidRDefault="00742E0C" w:rsidP="00CC370F">
      <w:pPr>
        <w:spacing w:after="120"/>
        <w:jc w:val="both"/>
        <w:rPr>
          <w:rFonts w:ascii="Arial" w:hAnsi="Arial" w:cs="Arial"/>
          <w:sz w:val="22"/>
          <w:szCs w:val="22"/>
        </w:rPr>
      </w:pPr>
      <w:r w:rsidRPr="00FD5929">
        <w:rPr>
          <w:rFonts w:ascii="Arial" w:hAnsi="Arial" w:cs="Arial"/>
          <w:sz w:val="22"/>
          <w:szCs w:val="22"/>
        </w:rPr>
        <w:t>Analýza je členěna v logické struktuře obsahující:</w:t>
      </w:r>
    </w:p>
    <w:p w:rsidR="00742E0C" w:rsidRPr="00FD5929" w:rsidRDefault="00742E0C" w:rsidP="00FD5929">
      <w:pPr>
        <w:pStyle w:val="Odstavecseseznamem"/>
        <w:numPr>
          <w:ilvl w:val="0"/>
          <w:numId w:val="18"/>
        </w:numPr>
        <w:spacing w:before="120" w:after="120"/>
        <w:contextualSpacing w:val="0"/>
        <w:jc w:val="both"/>
        <w:rPr>
          <w:rFonts w:ascii="Arial" w:hAnsi="Arial" w:cs="Arial"/>
          <w:sz w:val="22"/>
          <w:szCs w:val="22"/>
        </w:rPr>
      </w:pPr>
      <w:r w:rsidRPr="00FD5929">
        <w:rPr>
          <w:rFonts w:ascii="Arial" w:hAnsi="Arial" w:cs="Arial"/>
          <w:sz w:val="22"/>
          <w:szCs w:val="22"/>
        </w:rPr>
        <w:t xml:space="preserve">Celkový pohled na systém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(kapitola 1)</w:t>
      </w:r>
      <w:r w:rsidR="000C7D5B" w:rsidRPr="00FD5929">
        <w:rPr>
          <w:rFonts w:ascii="Arial" w:hAnsi="Arial" w:cs="Arial"/>
          <w:sz w:val="22"/>
          <w:szCs w:val="22"/>
        </w:rPr>
        <w:t xml:space="preserve"> – tato kapitola využívá disponibilních agregovaných údajů ČSÚ.</w:t>
      </w:r>
    </w:p>
    <w:p w:rsidR="00742E0C" w:rsidRPr="00FD5929" w:rsidRDefault="00742E0C" w:rsidP="00FD5929">
      <w:pPr>
        <w:pStyle w:val="Odstavecseseznamem"/>
        <w:numPr>
          <w:ilvl w:val="0"/>
          <w:numId w:val="18"/>
        </w:numPr>
        <w:spacing w:before="120" w:after="120"/>
        <w:contextualSpacing w:val="0"/>
        <w:jc w:val="both"/>
        <w:rPr>
          <w:rFonts w:ascii="Arial" w:hAnsi="Arial" w:cs="Arial"/>
          <w:sz w:val="22"/>
          <w:szCs w:val="22"/>
        </w:rPr>
      </w:pPr>
      <w:r w:rsidRPr="00FD5929">
        <w:rPr>
          <w:rFonts w:ascii="Arial" w:hAnsi="Arial" w:cs="Arial"/>
          <w:sz w:val="22"/>
          <w:szCs w:val="22"/>
        </w:rPr>
        <w:t xml:space="preserve">Analýza jednotlivých aktiv </w:t>
      </w:r>
      <w:r w:rsidR="001F4B04">
        <w:rPr>
          <w:rFonts w:ascii="Arial" w:hAnsi="Arial" w:cs="Arial"/>
          <w:sz w:val="22"/>
          <w:szCs w:val="22"/>
        </w:rPr>
        <w:t xml:space="preserve">a pasiv </w:t>
      </w:r>
      <w:r w:rsidRPr="00FD5929">
        <w:rPr>
          <w:rFonts w:ascii="Arial" w:hAnsi="Arial" w:cs="Arial"/>
          <w:sz w:val="22"/>
          <w:szCs w:val="22"/>
        </w:rPr>
        <w:t xml:space="preserve">systému </w:t>
      </w:r>
      <w:proofErr w:type="spellStart"/>
      <w:r w:rsidRPr="00FD5929">
        <w:rPr>
          <w:rFonts w:ascii="Arial" w:hAnsi="Arial" w:cs="Arial"/>
          <w:sz w:val="22"/>
          <w:szCs w:val="22"/>
        </w:rPr>
        <w:t>VaVaI</w:t>
      </w:r>
      <w:proofErr w:type="spellEnd"/>
      <w:r w:rsidRPr="00FD5929">
        <w:rPr>
          <w:rFonts w:ascii="Arial" w:hAnsi="Arial" w:cs="Arial"/>
          <w:sz w:val="22"/>
          <w:szCs w:val="22"/>
        </w:rPr>
        <w:t>:</w:t>
      </w:r>
    </w:p>
    <w:p w:rsidR="00742E0C" w:rsidRPr="001F4B04" w:rsidRDefault="00742E0C" w:rsidP="00FD5929">
      <w:pPr>
        <w:pStyle w:val="Odstavecseseznamem"/>
        <w:numPr>
          <w:ilvl w:val="1"/>
          <w:numId w:val="18"/>
        </w:numPr>
        <w:spacing w:before="120" w:after="120"/>
        <w:contextualSpacing w:val="0"/>
        <w:jc w:val="both"/>
        <w:rPr>
          <w:rFonts w:ascii="Arial" w:hAnsi="Arial" w:cs="Arial"/>
          <w:sz w:val="22"/>
          <w:szCs w:val="22"/>
        </w:rPr>
      </w:pPr>
      <w:r w:rsidRPr="001F4B04">
        <w:rPr>
          <w:rFonts w:ascii="Arial" w:hAnsi="Arial" w:cs="Arial"/>
          <w:sz w:val="22"/>
          <w:szCs w:val="22"/>
        </w:rPr>
        <w:t>Financování -  ze státního rozpočtu (kapitola 2) a ze zdrojů EU (kapitola 3)</w:t>
      </w:r>
    </w:p>
    <w:p w:rsidR="00742E0C" w:rsidRPr="001F4B04" w:rsidRDefault="00742E0C" w:rsidP="00FD5929">
      <w:pPr>
        <w:pStyle w:val="Odstavecseseznamem"/>
        <w:numPr>
          <w:ilvl w:val="1"/>
          <w:numId w:val="18"/>
        </w:numPr>
        <w:spacing w:before="120" w:after="120"/>
        <w:contextualSpacing w:val="0"/>
        <w:jc w:val="both"/>
        <w:rPr>
          <w:rFonts w:ascii="Arial" w:hAnsi="Arial" w:cs="Arial"/>
          <w:sz w:val="22"/>
          <w:szCs w:val="22"/>
        </w:rPr>
      </w:pPr>
      <w:r w:rsidRPr="001F4B04">
        <w:rPr>
          <w:rFonts w:ascii="Arial" w:hAnsi="Arial" w:cs="Arial"/>
          <w:sz w:val="22"/>
          <w:szCs w:val="22"/>
        </w:rPr>
        <w:t>Lidské zdroje (kapitola 4)</w:t>
      </w:r>
    </w:p>
    <w:p w:rsidR="00742E0C" w:rsidRPr="001F4B04" w:rsidRDefault="00742E0C" w:rsidP="00FD5929">
      <w:pPr>
        <w:pStyle w:val="Odstavecseseznamem"/>
        <w:numPr>
          <w:ilvl w:val="1"/>
          <w:numId w:val="18"/>
        </w:numPr>
        <w:spacing w:before="120" w:after="120"/>
        <w:contextualSpacing w:val="0"/>
        <w:jc w:val="both"/>
        <w:rPr>
          <w:rFonts w:ascii="Arial" w:hAnsi="Arial" w:cs="Arial"/>
          <w:sz w:val="22"/>
          <w:szCs w:val="22"/>
        </w:rPr>
      </w:pPr>
      <w:r w:rsidRPr="001F4B04">
        <w:rPr>
          <w:rFonts w:ascii="Arial" w:hAnsi="Arial" w:cs="Arial"/>
          <w:sz w:val="22"/>
          <w:szCs w:val="22"/>
        </w:rPr>
        <w:t>Infrastruktury (kapitola 5)</w:t>
      </w:r>
    </w:p>
    <w:p w:rsidR="00742E0C" w:rsidRPr="001F4B04" w:rsidRDefault="00742E0C" w:rsidP="00FD5929">
      <w:pPr>
        <w:pStyle w:val="Odstavecseseznamem"/>
        <w:numPr>
          <w:ilvl w:val="0"/>
          <w:numId w:val="18"/>
        </w:numPr>
        <w:spacing w:before="120" w:after="120"/>
        <w:contextualSpacing w:val="0"/>
        <w:jc w:val="both"/>
        <w:rPr>
          <w:rFonts w:ascii="Arial" w:hAnsi="Arial" w:cs="Arial"/>
          <w:sz w:val="22"/>
          <w:szCs w:val="22"/>
        </w:rPr>
      </w:pPr>
      <w:r w:rsidRPr="001F4B04">
        <w:rPr>
          <w:rFonts w:ascii="Arial" w:hAnsi="Arial" w:cs="Arial"/>
          <w:sz w:val="22"/>
          <w:szCs w:val="22"/>
        </w:rPr>
        <w:t xml:space="preserve">Analýza </w:t>
      </w:r>
      <w:r w:rsidR="001F4B04">
        <w:rPr>
          <w:rFonts w:ascii="Arial" w:hAnsi="Arial" w:cs="Arial"/>
          <w:sz w:val="22"/>
          <w:szCs w:val="22"/>
        </w:rPr>
        <w:t xml:space="preserve">struktury </w:t>
      </w:r>
      <w:r w:rsidRPr="001F4B04">
        <w:rPr>
          <w:rFonts w:ascii="Arial" w:hAnsi="Arial" w:cs="Arial"/>
          <w:sz w:val="22"/>
          <w:szCs w:val="22"/>
        </w:rPr>
        <w:t>výsledků</w:t>
      </w:r>
      <w:r w:rsidR="001F4B04">
        <w:rPr>
          <w:rFonts w:ascii="Arial" w:hAnsi="Arial" w:cs="Arial"/>
          <w:sz w:val="22"/>
          <w:szCs w:val="22"/>
        </w:rPr>
        <w:t xml:space="preserve"> </w:t>
      </w:r>
      <w:proofErr w:type="spellStart"/>
      <w:r w:rsidR="001F4B04">
        <w:rPr>
          <w:rFonts w:ascii="Arial" w:hAnsi="Arial" w:cs="Arial"/>
          <w:sz w:val="22"/>
          <w:szCs w:val="22"/>
        </w:rPr>
        <w:t>VaVaI</w:t>
      </w:r>
      <w:proofErr w:type="spellEnd"/>
      <w:r w:rsidRPr="001F4B04">
        <w:rPr>
          <w:rFonts w:ascii="Arial" w:hAnsi="Arial" w:cs="Arial"/>
          <w:sz w:val="22"/>
          <w:szCs w:val="22"/>
        </w:rPr>
        <w:t xml:space="preserve"> a způsob jejich hodnocení (kapitola 6)</w:t>
      </w:r>
    </w:p>
    <w:p w:rsidR="00742E0C" w:rsidRPr="001F4B04" w:rsidRDefault="00742E0C" w:rsidP="00FD5929">
      <w:pPr>
        <w:pStyle w:val="Odstavecseseznamem"/>
        <w:numPr>
          <w:ilvl w:val="0"/>
          <w:numId w:val="18"/>
        </w:numPr>
        <w:spacing w:before="120" w:after="120"/>
        <w:contextualSpacing w:val="0"/>
        <w:jc w:val="both"/>
        <w:rPr>
          <w:rFonts w:ascii="Arial" w:hAnsi="Arial" w:cs="Arial"/>
          <w:sz w:val="22"/>
          <w:szCs w:val="22"/>
        </w:rPr>
      </w:pPr>
      <w:r w:rsidRPr="001F4B04">
        <w:rPr>
          <w:rFonts w:ascii="Arial" w:hAnsi="Arial" w:cs="Arial"/>
          <w:sz w:val="22"/>
          <w:szCs w:val="22"/>
        </w:rPr>
        <w:t>Ekonomické prostředí a pozice ČR v oblasti inovativnosti (kapitola 7)</w:t>
      </w:r>
    </w:p>
    <w:p w:rsidR="00742E0C" w:rsidRPr="00FD5929" w:rsidRDefault="00742E0C" w:rsidP="00FD5929">
      <w:pPr>
        <w:pStyle w:val="Odstavecseseznamem"/>
        <w:numPr>
          <w:ilvl w:val="0"/>
          <w:numId w:val="18"/>
        </w:numPr>
        <w:spacing w:before="120" w:after="120"/>
        <w:contextualSpacing w:val="0"/>
        <w:jc w:val="both"/>
        <w:rPr>
          <w:rFonts w:ascii="Arial" w:hAnsi="Arial" w:cs="Arial"/>
          <w:sz w:val="22"/>
          <w:szCs w:val="22"/>
        </w:rPr>
      </w:pPr>
      <w:r w:rsidRPr="00FD5929">
        <w:rPr>
          <w:rFonts w:ascii="Arial" w:hAnsi="Arial" w:cs="Arial"/>
          <w:sz w:val="22"/>
          <w:szCs w:val="22"/>
        </w:rPr>
        <w:t xml:space="preserve">Návrh nástrojů na zlepšení pozice ČR v oblasti inovací jako výsledků aplikovaného výzkumu, včetně podkladů pro návrh </w:t>
      </w:r>
      <w:r w:rsidR="001F4B04">
        <w:rPr>
          <w:rFonts w:ascii="Arial" w:hAnsi="Arial" w:cs="Arial"/>
          <w:sz w:val="22"/>
          <w:szCs w:val="22"/>
        </w:rPr>
        <w:t xml:space="preserve">principů </w:t>
      </w:r>
      <w:r w:rsidRPr="00FD5929">
        <w:rPr>
          <w:rFonts w:ascii="Arial" w:hAnsi="Arial" w:cs="Arial"/>
          <w:sz w:val="22"/>
          <w:szCs w:val="22"/>
        </w:rPr>
        <w:t xml:space="preserve">nového systému hodnocení aplikovaného výzkumu (kapitola 8). </w:t>
      </w:r>
    </w:p>
    <w:p w:rsidR="00742E0C" w:rsidRPr="00FD5929" w:rsidRDefault="00742E0C" w:rsidP="00FD5929">
      <w:pPr>
        <w:pStyle w:val="Odstavecseseznamem"/>
        <w:numPr>
          <w:ilvl w:val="0"/>
          <w:numId w:val="18"/>
        </w:numPr>
        <w:spacing w:before="120" w:after="120"/>
        <w:contextualSpacing w:val="0"/>
        <w:jc w:val="both"/>
        <w:rPr>
          <w:rFonts w:ascii="Arial" w:hAnsi="Arial" w:cs="Arial"/>
          <w:sz w:val="22"/>
          <w:szCs w:val="22"/>
        </w:rPr>
      </w:pPr>
      <w:r w:rsidRPr="00FD5929">
        <w:rPr>
          <w:rFonts w:ascii="Arial" w:hAnsi="Arial" w:cs="Arial"/>
          <w:sz w:val="22"/>
          <w:szCs w:val="22"/>
        </w:rPr>
        <w:t xml:space="preserve">Popis využitých dat pro analýzu je uveden v kapitole 9. </w:t>
      </w:r>
    </w:p>
    <w:p w:rsidR="002A4EA5" w:rsidRDefault="00B861F5" w:rsidP="000F58D1">
      <w:pPr>
        <w:keepNext/>
        <w:spacing w:after="120"/>
        <w:jc w:val="both"/>
        <w:rPr>
          <w:rFonts w:ascii="Arial" w:hAnsi="Arial" w:cs="Arial"/>
          <w:sz w:val="22"/>
          <w:szCs w:val="22"/>
        </w:rPr>
      </w:pPr>
      <w:r w:rsidRPr="00FD5929">
        <w:rPr>
          <w:rFonts w:ascii="Arial" w:hAnsi="Arial" w:cs="Arial"/>
          <w:sz w:val="22"/>
          <w:szCs w:val="22"/>
        </w:rPr>
        <w:t xml:space="preserve">Cílem analýzy je detekovat silné a slabé stránky systému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Analýzou bylo zjištění následujících silných a slabých stránek systému </w:t>
      </w:r>
      <w:proofErr w:type="spellStart"/>
      <w:r w:rsidRPr="00FD5929">
        <w:rPr>
          <w:rFonts w:ascii="Arial" w:hAnsi="Arial" w:cs="Arial"/>
          <w:sz w:val="22"/>
          <w:szCs w:val="22"/>
        </w:rPr>
        <w:t>VaVaI</w:t>
      </w:r>
      <w:proofErr w:type="spellEnd"/>
      <w:r w:rsidRPr="00FD5929">
        <w:rPr>
          <w:rFonts w:ascii="Arial" w:hAnsi="Arial" w:cs="Arial"/>
          <w:sz w:val="22"/>
          <w:szCs w:val="22"/>
        </w:rPr>
        <w:t>:</w:t>
      </w:r>
    </w:p>
    <w:p w:rsidR="00FD5929" w:rsidRPr="00FD5929" w:rsidRDefault="00FD5929" w:rsidP="00CC370F">
      <w:pPr>
        <w:spacing w:after="120"/>
        <w:jc w:val="both"/>
        <w:rPr>
          <w:rFonts w:ascii="Arial" w:hAnsi="Arial" w:cs="Arial"/>
          <w:sz w:val="22"/>
          <w:szCs w:val="22"/>
        </w:rPr>
      </w:pPr>
    </w:p>
    <w:p w:rsidR="00CC2032" w:rsidRPr="00FD5929" w:rsidRDefault="000C7D5B" w:rsidP="00CC370F">
      <w:pPr>
        <w:spacing w:after="120"/>
        <w:jc w:val="both"/>
        <w:rPr>
          <w:rFonts w:ascii="Arial" w:hAnsi="Arial" w:cs="Arial"/>
          <w:b/>
          <w:sz w:val="22"/>
          <w:szCs w:val="22"/>
        </w:rPr>
      </w:pPr>
      <w:r w:rsidRPr="00FD5929">
        <w:rPr>
          <w:rFonts w:ascii="Arial" w:hAnsi="Arial" w:cs="Arial"/>
          <w:b/>
          <w:sz w:val="22"/>
          <w:szCs w:val="22"/>
        </w:rPr>
        <w:lastRenderedPageBreak/>
        <w:t>Silné stránky</w:t>
      </w:r>
    </w:p>
    <w:p w:rsidR="00C37044" w:rsidRPr="00FD5929" w:rsidRDefault="00C37044" w:rsidP="000F7A0C">
      <w:pPr>
        <w:pStyle w:val="Odstavecseseznamem"/>
        <w:numPr>
          <w:ilvl w:val="0"/>
          <w:numId w:val="14"/>
        </w:numPr>
        <w:spacing w:after="120" w:line="360" w:lineRule="auto"/>
        <w:ind w:left="714" w:hanging="357"/>
        <w:jc w:val="both"/>
        <w:rPr>
          <w:rFonts w:ascii="Arial" w:hAnsi="Arial" w:cs="Arial"/>
          <w:sz w:val="22"/>
          <w:szCs w:val="22"/>
        </w:rPr>
      </w:pPr>
      <w:r w:rsidRPr="00FD5929">
        <w:rPr>
          <w:rFonts w:ascii="Arial" w:hAnsi="Arial" w:cs="Arial"/>
          <w:sz w:val="22"/>
          <w:szCs w:val="22"/>
        </w:rPr>
        <w:t xml:space="preserve">Vybudovaná infrastruktura </w:t>
      </w:r>
    </w:p>
    <w:p w:rsidR="00C37044" w:rsidRPr="00FD5929" w:rsidRDefault="00C37044" w:rsidP="000F7A0C">
      <w:pPr>
        <w:pStyle w:val="Odstavecseseznamem"/>
        <w:numPr>
          <w:ilvl w:val="0"/>
          <w:numId w:val="14"/>
        </w:numPr>
        <w:spacing w:after="120" w:line="360" w:lineRule="auto"/>
        <w:ind w:left="714" w:hanging="357"/>
        <w:jc w:val="both"/>
        <w:rPr>
          <w:rFonts w:ascii="Arial" w:hAnsi="Arial" w:cs="Arial"/>
          <w:sz w:val="22"/>
          <w:szCs w:val="22"/>
        </w:rPr>
      </w:pPr>
      <w:r w:rsidRPr="00FD5929">
        <w:rPr>
          <w:rFonts w:ascii="Arial" w:hAnsi="Arial" w:cs="Arial"/>
          <w:sz w:val="22"/>
          <w:szCs w:val="22"/>
        </w:rPr>
        <w:t xml:space="preserve">Kvalifikované lidské zdroje a tradičně silné akademické zázemí </w:t>
      </w:r>
    </w:p>
    <w:p w:rsidR="00C37044" w:rsidRPr="00FD5929" w:rsidRDefault="00C37044" w:rsidP="000F7A0C">
      <w:pPr>
        <w:pStyle w:val="Odstavecseseznamem"/>
        <w:numPr>
          <w:ilvl w:val="0"/>
          <w:numId w:val="14"/>
        </w:numPr>
        <w:spacing w:after="120" w:line="360" w:lineRule="auto"/>
        <w:ind w:left="714" w:hanging="357"/>
        <w:jc w:val="both"/>
        <w:rPr>
          <w:rFonts w:ascii="Arial" w:hAnsi="Arial" w:cs="Arial"/>
          <w:sz w:val="22"/>
          <w:szCs w:val="22"/>
        </w:rPr>
      </w:pPr>
      <w:r w:rsidRPr="00FD5929">
        <w:rPr>
          <w:rFonts w:ascii="Arial" w:hAnsi="Arial" w:cs="Arial"/>
          <w:sz w:val="22"/>
          <w:szCs w:val="22"/>
        </w:rPr>
        <w:t>Ekonomický potenciál ČR (viz srovnání inovační výkonnosti ekonomiky ČR v kap. 7)</w:t>
      </w:r>
    </w:p>
    <w:p w:rsidR="00C37044" w:rsidRPr="00FD5929" w:rsidRDefault="00C37044" w:rsidP="000F7A0C">
      <w:pPr>
        <w:pStyle w:val="Odstavecseseznamem"/>
        <w:numPr>
          <w:ilvl w:val="0"/>
          <w:numId w:val="14"/>
        </w:numPr>
        <w:spacing w:after="120" w:line="360" w:lineRule="auto"/>
        <w:ind w:left="714" w:hanging="357"/>
        <w:jc w:val="both"/>
        <w:rPr>
          <w:rFonts w:ascii="Arial" w:hAnsi="Arial" w:cs="Arial"/>
          <w:sz w:val="22"/>
          <w:szCs w:val="22"/>
        </w:rPr>
      </w:pPr>
      <w:r w:rsidRPr="00FD5929">
        <w:rPr>
          <w:rFonts w:ascii="Arial" w:hAnsi="Arial" w:cs="Arial"/>
          <w:sz w:val="22"/>
          <w:szCs w:val="22"/>
        </w:rPr>
        <w:t>Silná kultura publikační činnosti a postupně se rozvíjející internacionalizace ve</w:t>
      </w:r>
      <w:r w:rsidR="002311FD">
        <w:rPr>
          <w:rFonts w:ascii="Arial" w:hAnsi="Arial" w:cs="Arial"/>
          <w:sz w:val="22"/>
          <w:szCs w:val="22"/>
        </w:rPr>
        <w:t>doucí</w:t>
      </w:r>
      <w:r w:rsidRPr="00FD5929">
        <w:rPr>
          <w:rFonts w:ascii="Arial" w:hAnsi="Arial" w:cs="Arial"/>
          <w:sz w:val="22"/>
          <w:szCs w:val="22"/>
        </w:rPr>
        <w:t xml:space="preserve"> </w:t>
      </w:r>
      <w:r w:rsidR="002311FD">
        <w:rPr>
          <w:rFonts w:ascii="Arial" w:hAnsi="Arial" w:cs="Arial"/>
          <w:sz w:val="22"/>
          <w:szCs w:val="22"/>
        </w:rPr>
        <w:t>k </w:t>
      </w:r>
      <w:r w:rsidRPr="00FD5929">
        <w:rPr>
          <w:rFonts w:ascii="Arial" w:hAnsi="Arial" w:cs="Arial"/>
          <w:sz w:val="22"/>
          <w:szCs w:val="22"/>
        </w:rPr>
        <w:t>excelen</w:t>
      </w:r>
      <w:r w:rsidR="002311FD">
        <w:rPr>
          <w:rFonts w:ascii="Arial" w:hAnsi="Arial" w:cs="Arial"/>
          <w:sz w:val="22"/>
          <w:szCs w:val="22"/>
        </w:rPr>
        <w:t>ci</w:t>
      </w:r>
      <w:r w:rsidRPr="00FD5929">
        <w:rPr>
          <w:rFonts w:ascii="Arial" w:hAnsi="Arial" w:cs="Arial"/>
          <w:sz w:val="22"/>
          <w:szCs w:val="22"/>
        </w:rPr>
        <w:t xml:space="preserve"> </w:t>
      </w:r>
      <w:r w:rsidR="002311FD">
        <w:rPr>
          <w:rFonts w:ascii="Arial" w:hAnsi="Arial" w:cs="Arial"/>
          <w:sz w:val="22"/>
          <w:szCs w:val="22"/>
        </w:rPr>
        <w:t xml:space="preserve">některých </w:t>
      </w:r>
      <w:r w:rsidRPr="00FD5929">
        <w:rPr>
          <w:rFonts w:ascii="Arial" w:hAnsi="Arial" w:cs="Arial"/>
          <w:sz w:val="22"/>
          <w:szCs w:val="22"/>
        </w:rPr>
        <w:t>obor</w:t>
      </w:r>
      <w:r w:rsidR="002311FD">
        <w:rPr>
          <w:rFonts w:ascii="Arial" w:hAnsi="Arial" w:cs="Arial"/>
          <w:sz w:val="22"/>
          <w:szCs w:val="22"/>
        </w:rPr>
        <w:t>ů</w:t>
      </w:r>
      <w:r w:rsidRPr="00FD5929">
        <w:rPr>
          <w:rFonts w:ascii="Arial" w:hAnsi="Arial" w:cs="Arial"/>
          <w:sz w:val="22"/>
          <w:szCs w:val="22"/>
        </w:rPr>
        <w:t>.</w:t>
      </w:r>
    </w:p>
    <w:p w:rsidR="000625CB" w:rsidRDefault="000625CB" w:rsidP="00D962CC">
      <w:pPr>
        <w:pStyle w:val="Odstavecseseznamem"/>
        <w:numPr>
          <w:ilvl w:val="0"/>
          <w:numId w:val="14"/>
        </w:numPr>
        <w:spacing w:after="120"/>
        <w:jc w:val="both"/>
        <w:rPr>
          <w:rFonts w:ascii="Arial" w:hAnsi="Arial" w:cs="Arial"/>
          <w:sz w:val="22"/>
          <w:szCs w:val="22"/>
        </w:rPr>
      </w:pPr>
      <w:r w:rsidRPr="00FD5929">
        <w:rPr>
          <w:rFonts w:ascii="Arial" w:hAnsi="Arial" w:cs="Arial"/>
          <w:sz w:val="22"/>
          <w:szCs w:val="22"/>
        </w:rPr>
        <w:t xml:space="preserve">Vysoký objem zdrojů EU, které je možné využít pro rozvoj systému </w:t>
      </w:r>
      <w:proofErr w:type="spellStart"/>
      <w:r w:rsidR="002311FD">
        <w:rPr>
          <w:rFonts w:ascii="Arial" w:hAnsi="Arial" w:cs="Arial"/>
          <w:sz w:val="22"/>
          <w:szCs w:val="22"/>
        </w:rPr>
        <w:t>VaVaI</w:t>
      </w:r>
      <w:proofErr w:type="spellEnd"/>
      <w:r w:rsidRPr="00FD5929">
        <w:rPr>
          <w:rFonts w:ascii="Arial" w:hAnsi="Arial" w:cs="Arial"/>
          <w:sz w:val="22"/>
          <w:szCs w:val="22"/>
        </w:rPr>
        <w:t>.</w:t>
      </w:r>
    </w:p>
    <w:p w:rsidR="00552C49" w:rsidRPr="00FD5929" w:rsidRDefault="00552C49" w:rsidP="00552C49">
      <w:pPr>
        <w:pStyle w:val="Odstavecseseznamem"/>
        <w:spacing w:after="120"/>
        <w:jc w:val="both"/>
        <w:rPr>
          <w:rFonts w:ascii="Arial" w:hAnsi="Arial" w:cs="Arial"/>
          <w:sz w:val="22"/>
          <w:szCs w:val="22"/>
        </w:rPr>
      </w:pPr>
      <w:bookmarkStart w:id="0" w:name="_GoBack"/>
      <w:bookmarkEnd w:id="0"/>
    </w:p>
    <w:p w:rsidR="00B861F5" w:rsidRPr="00FD5929" w:rsidRDefault="00B861F5" w:rsidP="00CC370F">
      <w:pPr>
        <w:spacing w:after="120"/>
        <w:jc w:val="both"/>
        <w:rPr>
          <w:rFonts w:ascii="Arial" w:hAnsi="Arial" w:cs="Arial"/>
          <w:b/>
          <w:sz w:val="22"/>
          <w:szCs w:val="22"/>
        </w:rPr>
      </w:pPr>
      <w:r w:rsidRPr="00FD5929">
        <w:rPr>
          <w:rFonts w:ascii="Arial" w:hAnsi="Arial" w:cs="Arial"/>
          <w:b/>
          <w:sz w:val="22"/>
          <w:szCs w:val="22"/>
        </w:rPr>
        <w:t>Slabé strá</w:t>
      </w:r>
      <w:r w:rsidR="00CC2032" w:rsidRPr="00FD5929">
        <w:rPr>
          <w:rFonts w:ascii="Arial" w:hAnsi="Arial" w:cs="Arial"/>
          <w:b/>
          <w:sz w:val="22"/>
          <w:szCs w:val="22"/>
        </w:rPr>
        <w:t>n</w:t>
      </w:r>
      <w:r w:rsidRPr="00FD5929">
        <w:rPr>
          <w:rFonts w:ascii="Arial" w:hAnsi="Arial" w:cs="Arial"/>
          <w:b/>
          <w:sz w:val="22"/>
          <w:szCs w:val="22"/>
        </w:rPr>
        <w:t>ky:</w:t>
      </w:r>
    </w:p>
    <w:p w:rsidR="00CC2032" w:rsidRPr="00FD5929" w:rsidRDefault="00B861F5" w:rsidP="000F7A0C">
      <w:pPr>
        <w:pStyle w:val="Odstavecseseznamem"/>
        <w:numPr>
          <w:ilvl w:val="0"/>
          <w:numId w:val="14"/>
        </w:numPr>
        <w:spacing w:after="120" w:line="360" w:lineRule="auto"/>
        <w:ind w:left="714" w:hanging="357"/>
        <w:jc w:val="both"/>
        <w:rPr>
          <w:rFonts w:ascii="Arial" w:hAnsi="Arial" w:cs="Arial"/>
          <w:sz w:val="22"/>
          <w:szCs w:val="22"/>
        </w:rPr>
      </w:pPr>
      <w:r w:rsidRPr="00FD5929">
        <w:rPr>
          <w:rFonts w:ascii="Arial" w:hAnsi="Arial" w:cs="Arial"/>
          <w:sz w:val="22"/>
          <w:szCs w:val="22"/>
        </w:rPr>
        <w:t xml:space="preserve">Komplikovanost a roztříštěnost systému financování </w:t>
      </w:r>
      <w:proofErr w:type="spellStart"/>
      <w:r w:rsidRPr="00FD5929">
        <w:rPr>
          <w:rFonts w:ascii="Arial" w:hAnsi="Arial" w:cs="Arial"/>
          <w:sz w:val="22"/>
          <w:szCs w:val="22"/>
        </w:rPr>
        <w:t>VaVaI</w:t>
      </w:r>
      <w:proofErr w:type="spellEnd"/>
      <w:r w:rsidR="00CC2032" w:rsidRPr="00FD5929">
        <w:rPr>
          <w:rFonts w:ascii="Arial" w:hAnsi="Arial" w:cs="Arial"/>
          <w:sz w:val="22"/>
          <w:szCs w:val="22"/>
        </w:rPr>
        <w:t xml:space="preserve"> </w:t>
      </w:r>
    </w:p>
    <w:p w:rsidR="00CC2032" w:rsidRPr="00FD5929" w:rsidRDefault="00CC2032" w:rsidP="000F7A0C">
      <w:pPr>
        <w:pStyle w:val="Odstavecseseznamem"/>
        <w:numPr>
          <w:ilvl w:val="0"/>
          <w:numId w:val="14"/>
        </w:numPr>
        <w:spacing w:after="120" w:line="360" w:lineRule="auto"/>
        <w:ind w:left="714" w:hanging="357"/>
        <w:jc w:val="both"/>
        <w:rPr>
          <w:rFonts w:ascii="Arial" w:hAnsi="Arial" w:cs="Arial"/>
          <w:sz w:val="22"/>
          <w:szCs w:val="22"/>
        </w:rPr>
      </w:pPr>
      <w:r w:rsidRPr="00FD5929">
        <w:rPr>
          <w:rFonts w:ascii="Arial" w:hAnsi="Arial" w:cs="Arial"/>
          <w:sz w:val="22"/>
          <w:szCs w:val="22"/>
        </w:rPr>
        <w:t>Zdánlivě pozitivní mezinárodní srovnání ČR je ovlivněno dočasným financováním ze</w:t>
      </w:r>
      <w:r w:rsidR="000F7A0C">
        <w:rPr>
          <w:rFonts w:ascii="Arial" w:hAnsi="Arial" w:cs="Arial"/>
          <w:sz w:val="22"/>
          <w:szCs w:val="22"/>
        </w:rPr>
        <w:t> </w:t>
      </w:r>
      <w:r w:rsidRPr="00FD5929">
        <w:rPr>
          <w:rFonts w:ascii="Arial" w:hAnsi="Arial" w:cs="Arial"/>
          <w:sz w:val="22"/>
          <w:szCs w:val="22"/>
        </w:rPr>
        <w:t>zdrojů, které bude ukončeno po roce 2020/2023</w:t>
      </w:r>
      <w:r w:rsidR="001F4B04">
        <w:rPr>
          <w:rFonts w:ascii="Arial" w:hAnsi="Arial" w:cs="Arial"/>
          <w:sz w:val="22"/>
          <w:szCs w:val="22"/>
        </w:rPr>
        <w:t>.</w:t>
      </w:r>
    </w:p>
    <w:p w:rsidR="00B861F5" w:rsidRPr="00FD5929" w:rsidRDefault="00CC2032" w:rsidP="000F7A0C">
      <w:pPr>
        <w:pStyle w:val="Odstavecseseznamem"/>
        <w:numPr>
          <w:ilvl w:val="0"/>
          <w:numId w:val="14"/>
        </w:numPr>
        <w:spacing w:after="120" w:line="360" w:lineRule="auto"/>
        <w:ind w:left="714" w:hanging="357"/>
        <w:jc w:val="both"/>
        <w:rPr>
          <w:rFonts w:ascii="Arial" w:hAnsi="Arial" w:cs="Arial"/>
          <w:sz w:val="22"/>
          <w:szCs w:val="22"/>
        </w:rPr>
      </w:pPr>
      <w:r w:rsidRPr="00FD5929">
        <w:rPr>
          <w:rFonts w:ascii="Arial" w:hAnsi="Arial" w:cs="Arial"/>
          <w:sz w:val="22"/>
          <w:szCs w:val="22"/>
        </w:rPr>
        <w:t>S</w:t>
      </w:r>
      <w:r w:rsidR="00B861F5" w:rsidRPr="00FD5929">
        <w:rPr>
          <w:rFonts w:ascii="Arial" w:hAnsi="Arial" w:cs="Arial"/>
          <w:sz w:val="22"/>
          <w:szCs w:val="22"/>
        </w:rPr>
        <w:t xml:space="preserve">oukromé výdaje systému </w:t>
      </w:r>
      <w:proofErr w:type="spellStart"/>
      <w:r w:rsidR="00B861F5" w:rsidRPr="00FD5929">
        <w:rPr>
          <w:rFonts w:ascii="Arial" w:hAnsi="Arial" w:cs="Arial"/>
          <w:sz w:val="22"/>
          <w:szCs w:val="22"/>
        </w:rPr>
        <w:t>VaVaI</w:t>
      </w:r>
      <w:proofErr w:type="spellEnd"/>
      <w:r w:rsidR="00B861F5" w:rsidRPr="00FD5929">
        <w:rPr>
          <w:rFonts w:ascii="Arial" w:hAnsi="Arial" w:cs="Arial"/>
          <w:sz w:val="22"/>
          <w:szCs w:val="22"/>
        </w:rPr>
        <w:t xml:space="preserve"> </w:t>
      </w:r>
      <w:r w:rsidRPr="00FD5929">
        <w:rPr>
          <w:rFonts w:ascii="Arial" w:hAnsi="Arial" w:cs="Arial"/>
          <w:sz w:val="22"/>
          <w:szCs w:val="22"/>
        </w:rPr>
        <w:t>js</w:t>
      </w:r>
      <w:r w:rsidR="00C37044" w:rsidRPr="00FD5929">
        <w:rPr>
          <w:rFonts w:ascii="Arial" w:hAnsi="Arial" w:cs="Arial"/>
          <w:sz w:val="22"/>
          <w:szCs w:val="22"/>
        </w:rPr>
        <w:t>o</w:t>
      </w:r>
      <w:r w:rsidRPr="00FD5929">
        <w:rPr>
          <w:rFonts w:ascii="Arial" w:hAnsi="Arial" w:cs="Arial"/>
          <w:sz w:val="22"/>
          <w:szCs w:val="22"/>
        </w:rPr>
        <w:t>u vynakládány převážně v soukromé sféře</w:t>
      </w:r>
      <w:r w:rsidR="002311FD">
        <w:rPr>
          <w:rFonts w:ascii="Arial" w:hAnsi="Arial" w:cs="Arial"/>
          <w:sz w:val="22"/>
          <w:szCs w:val="22"/>
        </w:rPr>
        <w:t>,</w:t>
      </w:r>
      <w:r w:rsidRPr="00FD5929">
        <w:rPr>
          <w:rFonts w:ascii="Arial" w:hAnsi="Arial" w:cs="Arial"/>
          <w:sz w:val="22"/>
          <w:szCs w:val="22"/>
        </w:rPr>
        <w:t xml:space="preserve"> což značí nízkou efektivnost spolupráce soukromé a veřejné sféry v systému </w:t>
      </w:r>
      <w:proofErr w:type="spellStart"/>
      <w:r w:rsidRPr="00FD5929">
        <w:rPr>
          <w:rFonts w:ascii="Arial" w:hAnsi="Arial" w:cs="Arial"/>
          <w:sz w:val="22"/>
          <w:szCs w:val="22"/>
        </w:rPr>
        <w:t>VaVaI</w:t>
      </w:r>
      <w:proofErr w:type="spellEnd"/>
      <w:r w:rsidRPr="00FD5929">
        <w:rPr>
          <w:rFonts w:ascii="Arial" w:hAnsi="Arial" w:cs="Arial"/>
          <w:sz w:val="22"/>
          <w:szCs w:val="22"/>
        </w:rPr>
        <w:t>.</w:t>
      </w:r>
    </w:p>
    <w:p w:rsidR="00D75571" w:rsidRDefault="00CC2032" w:rsidP="000F7A0C">
      <w:pPr>
        <w:pStyle w:val="Odstavecseseznamem"/>
        <w:numPr>
          <w:ilvl w:val="0"/>
          <w:numId w:val="14"/>
        </w:numPr>
        <w:spacing w:after="120" w:line="360" w:lineRule="auto"/>
        <w:ind w:left="714" w:hanging="357"/>
        <w:jc w:val="both"/>
        <w:rPr>
          <w:rFonts w:ascii="Arial" w:hAnsi="Arial" w:cs="Arial"/>
          <w:sz w:val="22"/>
          <w:szCs w:val="22"/>
        </w:rPr>
      </w:pPr>
      <w:r w:rsidRPr="002311FD">
        <w:rPr>
          <w:rFonts w:ascii="Arial" w:hAnsi="Arial" w:cs="Arial"/>
          <w:sz w:val="22"/>
          <w:szCs w:val="22"/>
        </w:rPr>
        <w:t xml:space="preserve">Nedostatky v systému hodnocení výsledků – současné nastavení systému hodnocení výrazně preferuje základní, neorientovaný výzkum, </w:t>
      </w:r>
      <w:r w:rsidR="002311FD" w:rsidRPr="002311FD">
        <w:rPr>
          <w:rFonts w:ascii="Arial" w:hAnsi="Arial" w:cs="Arial"/>
          <w:sz w:val="22"/>
          <w:szCs w:val="22"/>
        </w:rPr>
        <w:t xml:space="preserve">jehož </w:t>
      </w:r>
      <w:r w:rsidRPr="002311FD">
        <w:rPr>
          <w:rFonts w:ascii="Arial" w:hAnsi="Arial" w:cs="Arial"/>
          <w:sz w:val="22"/>
          <w:szCs w:val="22"/>
        </w:rPr>
        <w:t xml:space="preserve">důsledkem </w:t>
      </w:r>
      <w:r w:rsidR="002311FD" w:rsidRPr="002311FD">
        <w:rPr>
          <w:rFonts w:ascii="Arial" w:hAnsi="Arial" w:cs="Arial"/>
          <w:sz w:val="22"/>
          <w:szCs w:val="22"/>
        </w:rPr>
        <w:t>je</w:t>
      </w:r>
      <w:r w:rsidRPr="002311FD">
        <w:rPr>
          <w:rFonts w:ascii="Arial" w:hAnsi="Arial" w:cs="Arial"/>
          <w:sz w:val="22"/>
          <w:szCs w:val="22"/>
        </w:rPr>
        <w:t xml:space="preserve"> zlepšení </w:t>
      </w:r>
      <w:r w:rsidR="002311FD" w:rsidRPr="002311FD">
        <w:rPr>
          <w:rFonts w:ascii="Arial" w:hAnsi="Arial" w:cs="Arial"/>
          <w:sz w:val="22"/>
          <w:szCs w:val="22"/>
        </w:rPr>
        <w:t>publikační činnosti, ale rovněž</w:t>
      </w:r>
      <w:r w:rsidRPr="002311FD">
        <w:rPr>
          <w:rFonts w:ascii="Arial" w:hAnsi="Arial" w:cs="Arial"/>
          <w:sz w:val="22"/>
          <w:szCs w:val="22"/>
        </w:rPr>
        <w:t xml:space="preserve"> nízká míra spolupráce se soukromým sektorem </w:t>
      </w:r>
    </w:p>
    <w:p w:rsidR="00CC2032" w:rsidRPr="002311FD" w:rsidRDefault="00CC2032" w:rsidP="000F7A0C">
      <w:pPr>
        <w:pStyle w:val="Odstavecseseznamem"/>
        <w:numPr>
          <w:ilvl w:val="0"/>
          <w:numId w:val="14"/>
        </w:numPr>
        <w:spacing w:after="120" w:line="360" w:lineRule="auto"/>
        <w:ind w:left="714" w:hanging="357"/>
        <w:jc w:val="both"/>
        <w:rPr>
          <w:rFonts w:ascii="Arial" w:hAnsi="Arial" w:cs="Arial"/>
          <w:sz w:val="22"/>
          <w:szCs w:val="22"/>
        </w:rPr>
      </w:pPr>
      <w:r w:rsidRPr="002311FD">
        <w:rPr>
          <w:rFonts w:ascii="Arial" w:hAnsi="Arial" w:cs="Arial"/>
          <w:sz w:val="22"/>
          <w:szCs w:val="22"/>
        </w:rPr>
        <w:t>Nedostatečné využívání lidských zdrojů a infrastruktur</w:t>
      </w:r>
      <w:r w:rsidR="00D75571">
        <w:rPr>
          <w:rFonts w:ascii="Arial" w:hAnsi="Arial" w:cs="Arial"/>
          <w:sz w:val="22"/>
          <w:szCs w:val="22"/>
        </w:rPr>
        <w:t xml:space="preserve"> k provádění přínosného aplikovaného výzkumu</w:t>
      </w:r>
    </w:p>
    <w:p w:rsidR="001E1F03" w:rsidRDefault="000625CB" w:rsidP="00CC370F">
      <w:pPr>
        <w:pStyle w:val="Odstavecseseznamem"/>
        <w:numPr>
          <w:ilvl w:val="0"/>
          <w:numId w:val="14"/>
        </w:numPr>
        <w:spacing w:after="120"/>
        <w:jc w:val="both"/>
        <w:rPr>
          <w:rFonts w:ascii="Arial" w:hAnsi="Arial" w:cs="Arial"/>
          <w:sz w:val="22"/>
          <w:szCs w:val="22"/>
        </w:rPr>
      </w:pPr>
      <w:r w:rsidRPr="00FD5929">
        <w:rPr>
          <w:rFonts w:ascii="Arial" w:hAnsi="Arial" w:cs="Arial"/>
          <w:sz w:val="22"/>
          <w:szCs w:val="22"/>
        </w:rPr>
        <w:t>Nedostatečná koordinace národních a evropských zdrojů.</w:t>
      </w:r>
    </w:p>
    <w:p w:rsidR="000842CB" w:rsidRPr="001E1F03" w:rsidRDefault="000842CB" w:rsidP="001E1F03">
      <w:pPr>
        <w:spacing w:after="120"/>
        <w:ind w:left="360"/>
        <w:jc w:val="both"/>
        <w:rPr>
          <w:rFonts w:ascii="Arial" w:hAnsi="Arial" w:cs="Arial"/>
          <w:sz w:val="22"/>
          <w:szCs w:val="22"/>
        </w:rPr>
      </w:pPr>
    </w:p>
    <w:p w:rsidR="00FD5929" w:rsidRPr="00FD5929" w:rsidRDefault="001E1F03" w:rsidP="001E1F03">
      <w:pPr>
        <w:pStyle w:val="Odstavecseseznamem"/>
        <w:spacing w:before="120" w:after="120"/>
        <w:ind w:left="0"/>
        <w:contextualSpacing w:val="0"/>
        <w:jc w:val="both"/>
        <w:rPr>
          <w:rFonts w:ascii="Arial" w:hAnsi="Arial" w:cs="Arial"/>
          <w:sz w:val="22"/>
          <w:szCs w:val="22"/>
        </w:rPr>
      </w:pPr>
      <w:r w:rsidRPr="00FD5929">
        <w:rPr>
          <w:rFonts w:ascii="Arial" w:hAnsi="Arial" w:cs="Arial"/>
          <w:sz w:val="22"/>
          <w:szCs w:val="22"/>
        </w:rPr>
        <w:t>Analýza rovněž poukazuje na limity a nedostatky v souvislosti se zdrojovými daty a navrhuje některé optimalizační kroky.</w:t>
      </w:r>
    </w:p>
    <w:p w:rsidR="00FD5929" w:rsidRPr="00FD5929" w:rsidRDefault="00FD5929" w:rsidP="00FD5929">
      <w:pPr>
        <w:spacing w:after="120"/>
        <w:jc w:val="both"/>
        <w:rPr>
          <w:rFonts w:ascii="Arial" w:hAnsi="Arial" w:cs="Arial"/>
          <w:sz w:val="22"/>
          <w:szCs w:val="22"/>
        </w:rPr>
      </w:pPr>
      <w:r w:rsidRPr="00FD5929">
        <w:rPr>
          <w:rFonts w:ascii="Arial" w:hAnsi="Arial" w:cs="Arial"/>
          <w:sz w:val="22"/>
          <w:szCs w:val="22"/>
        </w:rPr>
        <w:t xml:space="preserve">Analýza byla zpracována v úzké součinnosti se zpravodaji </w:t>
      </w:r>
      <w:r w:rsidRPr="00FD5929">
        <w:rPr>
          <w:rFonts w:ascii="Arial" w:hAnsi="Arial" w:cs="Arial"/>
          <w:b/>
          <w:sz w:val="22"/>
          <w:szCs w:val="22"/>
        </w:rPr>
        <w:t>materiálu prof. </w:t>
      </w:r>
      <w:proofErr w:type="spellStart"/>
      <w:r w:rsidR="000F58D1">
        <w:rPr>
          <w:rFonts w:ascii="Arial" w:hAnsi="Arial" w:cs="Arial"/>
          <w:b/>
          <w:sz w:val="22"/>
          <w:szCs w:val="22"/>
        </w:rPr>
        <w:t>Jurajdou</w:t>
      </w:r>
      <w:proofErr w:type="spellEnd"/>
      <w:r w:rsidR="000F58D1">
        <w:rPr>
          <w:rFonts w:ascii="Arial" w:hAnsi="Arial" w:cs="Arial"/>
          <w:b/>
          <w:sz w:val="22"/>
          <w:szCs w:val="22"/>
        </w:rPr>
        <w:t xml:space="preserve"> a d</w:t>
      </w:r>
      <w:r w:rsidRPr="00FD5929">
        <w:rPr>
          <w:rFonts w:ascii="Arial" w:hAnsi="Arial" w:cs="Arial"/>
          <w:b/>
          <w:sz w:val="22"/>
          <w:szCs w:val="22"/>
        </w:rPr>
        <w:t xml:space="preserve">oc. Havlíčkem </w:t>
      </w:r>
      <w:r w:rsidRPr="001E1F03">
        <w:rPr>
          <w:rFonts w:ascii="Arial" w:hAnsi="Arial" w:cs="Arial"/>
          <w:sz w:val="22"/>
          <w:szCs w:val="22"/>
        </w:rPr>
        <w:t>(recenzenti dokumentu</w:t>
      </w:r>
      <w:r w:rsidR="001E1F03" w:rsidRPr="001E1F03">
        <w:rPr>
          <w:rFonts w:ascii="Arial" w:hAnsi="Arial" w:cs="Arial"/>
          <w:sz w:val="22"/>
          <w:szCs w:val="22"/>
        </w:rPr>
        <w:t>)</w:t>
      </w:r>
      <w:r w:rsidRPr="00FD5929">
        <w:rPr>
          <w:rFonts w:ascii="Arial" w:hAnsi="Arial" w:cs="Arial"/>
          <w:sz w:val="22"/>
          <w:szCs w:val="22"/>
        </w:rPr>
        <w:t>.</w:t>
      </w:r>
      <w:r w:rsidR="001E1F03">
        <w:rPr>
          <w:rFonts w:ascii="Arial" w:hAnsi="Arial" w:cs="Arial"/>
          <w:sz w:val="22"/>
          <w:szCs w:val="22"/>
        </w:rPr>
        <w:t xml:space="preserve"> </w:t>
      </w:r>
      <w:r w:rsidRPr="00FD5929">
        <w:rPr>
          <w:rFonts w:ascii="Arial" w:hAnsi="Arial" w:cs="Arial"/>
          <w:sz w:val="22"/>
          <w:szCs w:val="22"/>
        </w:rPr>
        <w:t xml:space="preserve">V souladu s plánem nelegislativních úkolů vlády má být </w:t>
      </w:r>
      <w:r w:rsidRPr="00FD5929">
        <w:rPr>
          <w:rFonts w:ascii="Arial" w:hAnsi="Arial" w:cs="Arial"/>
          <w:b/>
          <w:sz w:val="22"/>
          <w:szCs w:val="22"/>
        </w:rPr>
        <w:t>Analýza předložena vládě v září 2015</w:t>
      </w:r>
      <w:r w:rsidR="001E1F03">
        <w:rPr>
          <w:rFonts w:ascii="Arial" w:hAnsi="Arial" w:cs="Arial"/>
          <w:sz w:val="22"/>
          <w:szCs w:val="22"/>
        </w:rPr>
        <w:t>.</w:t>
      </w:r>
    </w:p>
    <w:p w:rsidR="00D962CC" w:rsidRPr="00FD5929" w:rsidRDefault="00D962CC" w:rsidP="00D962CC">
      <w:pPr>
        <w:spacing w:after="120"/>
        <w:jc w:val="both"/>
        <w:rPr>
          <w:rFonts w:ascii="Arial" w:hAnsi="Arial" w:cs="Arial"/>
          <w:sz w:val="22"/>
          <w:szCs w:val="22"/>
        </w:rPr>
      </w:pPr>
    </w:p>
    <w:p w:rsidR="00D962CC" w:rsidRPr="00FD5929" w:rsidRDefault="00D962CC" w:rsidP="00796D4B">
      <w:pPr>
        <w:pStyle w:val="Odstavecseseznamem"/>
        <w:numPr>
          <w:ilvl w:val="0"/>
          <w:numId w:val="21"/>
        </w:numPr>
        <w:spacing w:after="120"/>
        <w:jc w:val="both"/>
        <w:rPr>
          <w:rFonts w:ascii="Arial" w:hAnsi="Arial" w:cs="Arial"/>
          <w:b/>
        </w:rPr>
      </w:pPr>
      <w:r w:rsidRPr="00FD5929">
        <w:rPr>
          <w:rFonts w:ascii="Arial" w:hAnsi="Arial" w:cs="Arial"/>
          <w:b/>
          <w:u w:val="single"/>
        </w:rPr>
        <w:t xml:space="preserve">Popis kapitol </w:t>
      </w:r>
      <w:r w:rsidR="00FD5929">
        <w:rPr>
          <w:rFonts w:ascii="Arial" w:hAnsi="Arial" w:cs="Arial"/>
          <w:b/>
          <w:u w:val="single"/>
        </w:rPr>
        <w:t>analýzy</w:t>
      </w:r>
    </w:p>
    <w:p w:rsidR="000625CB" w:rsidRPr="00FD5929" w:rsidRDefault="000625CB" w:rsidP="000625CB">
      <w:pPr>
        <w:pStyle w:val="Odstavecseseznamem"/>
        <w:spacing w:after="120"/>
        <w:jc w:val="both"/>
        <w:rPr>
          <w:rFonts w:ascii="Arial" w:hAnsi="Arial" w:cs="Arial"/>
          <w:sz w:val="22"/>
          <w:szCs w:val="22"/>
        </w:rPr>
      </w:pPr>
    </w:p>
    <w:p w:rsidR="000625CB" w:rsidRPr="00FD5929" w:rsidRDefault="000842CB" w:rsidP="000F58D1">
      <w:pPr>
        <w:pStyle w:val="Odstavecseseznamem"/>
        <w:spacing w:after="120"/>
        <w:ind w:left="0"/>
        <w:jc w:val="both"/>
        <w:rPr>
          <w:rFonts w:ascii="Arial" w:hAnsi="Arial" w:cs="Arial"/>
          <w:sz w:val="22"/>
          <w:szCs w:val="22"/>
        </w:rPr>
      </w:pPr>
      <w:r w:rsidRPr="00FD5929">
        <w:rPr>
          <w:rFonts w:ascii="Arial" w:hAnsi="Arial" w:cs="Arial"/>
          <w:b/>
          <w:sz w:val="22"/>
          <w:szCs w:val="22"/>
        </w:rPr>
        <w:t xml:space="preserve">Kapitola Finanční toky ve </w:t>
      </w:r>
      <w:proofErr w:type="spellStart"/>
      <w:r w:rsidRPr="00FD5929">
        <w:rPr>
          <w:rFonts w:ascii="Arial" w:hAnsi="Arial" w:cs="Arial"/>
          <w:b/>
          <w:sz w:val="22"/>
          <w:szCs w:val="22"/>
        </w:rPr>
        <w:t>VaVaI</w:t>
      </w:r>
      <w:proofErr w:type="spellEnd"/>
      <w:r w:rsidR="002A4EA5" w:rsidRPr="00FD5929">
        <w:rPr>
          <w:rFonts w:ascii="Arial" w:hAnsi="Arial" w:cs="Arial"/>
          <w:b/>
          <w:sz w:val="22"/>
          <w:szCs w:val="22"/>
        </w:rPr>
        <w:t xml:space="preserve"> </w:t>
      </w:r>
      <w:r w:rsidR="00B861F5" w:rsidRPr="00FD5929">
        <w:rPr>
          <w:rFonts w:ascii="Arial" w:hAnsi="Arial" w:cs="Arial"/>
          <w:b/>
          <w:sz w:val="22"/>
          <w:szCs w:val="22"/>
        </w:rPr>
        <w:t>po</w:t>
      </w:r>
      <w:r w:rsidR="00C37044" w:rsidRPr="00FD5929">
        <w:rPr>
          <w:rFonts w:ascii="Arial" w:hAnsi="Arial" w:cs="Arial"/>
          <w:b/>
          <w:sz w:val="22"/>
          <w:szCs w:val="22"/>
        </w:rPr>
        <w:t xml:space="preserve">skytuje komplexní obraz </w:t>
      </w:r>
      <w:r w:rsidR="00B861F5" w:rsidRPr="00FD5929">
        <w:rPr>
          <w:rFonts w:ascii="Arial" w:hAnsi="Arial" w:cs="Arial"/>
          <w:b/>
          <w:sz w:val="22"/>
          <w:szCs w:val="22"/>
        </w:rPr>
        <w:t xml:space="preserve">financování systému </w:t>
      </w:r>
      <w:proofErr w:type="spellStart"/>
      <w:r w:rsidR="00B861F5" w:rsidRPr="00FD5929">
        <w:rPr>
          <w:rFonts w:ascii="Arial" w:hAnsi="Arial" w:cs="Arial"/>
          <w:b/>
          <w:sz w:val="22"/>
          <w:szCs w:val="22"/>
        </w:rPr>
        <w:t>VaVaI</w:t>
      </w:r>
      <w:proofErr w:type="spellEnd"/>
      <w:r w:rsidR="000625CB" w:rsidRPr="00FD5929">
        <w:rPr>
          <w:rFonts w:ascii="Arial" w:hAnsi="Arial" w:cs="Arial"/>
          <w:b/>
          <w:sz w:val="22"/>
          <w:szCs w:val="22"/>
        </w:rPr>
        <w:t>. Tato kapitola vychází převážně z datových zdrojů ČSÚ a analyzuje systém</w:t>
      </w:r>
      <w:r w:rsidR="00B861F5" w:rsidRPr="00FD5929">
        <w:rPr>
          <w:rFonts w:ascii="Arial" w:hAnsi="Arial" w:cs="Arial"/>
          <w:sz w:val="22"/>
          <w:szCs w:val="22"/>
        </w:rPr>
        <w:t xml:space="preserve"> jak z pohledu veřejné podpory (domácí a zahraniční zdroje) tak z pohledu soukromých výdajů (zahraniční a domácí). </w:t>
      </w:r>
    </w:p>
    <w:p w:rsidR="000F58D1" w:rsidRDefault="001E1F03" w:rsidP="000F58D1">
      <w:pPr>
        <w:pStyle w:val="Odstavecseseznamem"/>
        <w:spacing w:after="120"/>
        <w:ind w:left="0"/>
        <w:jc w:val="both"/>
        <w:rPr>
          <w:rFonts w:ascii="Arial" w:hAnsi="Arial" w:cs="Arial"/>
          <w:sz w:val="22"/>
          <w:szCs w:val="22"/>
        </w:rPr>
      </w:pPr>
      <w:r w:rsidRPr="00FD5929">
        <w:rPr>
          <w:rFonts w:ascii="Arial" w:hAnsi="Arial" w:cs="Arial"/>
          <w:sz w:val="22"/>
          <w:szCs w:val="22"/>
        </w:rPr>
        <w:t xml:space="preserve">Kapitola popisuje hlavní vazby mezi skupinami subjektů, které realizují </w:t>
      </w:r>
      <w:proofErr w:type="spellStart"/>
      <w:r w:rsidRPr="00FD5929">
        <w:rPr>
          <w:rFonts w:ascii="Arial" w:hAnsi="Arial" w:cs="Arial"/>
          <w:sz w:val="22"/>
          <w:szCs w:val="22"/>
        </w:rPr>
        <w:t>VaVaI</w:t>
      </w:r>
      <w:proofErr w:type="spellEnd"/>
      <w:r w:rsidRPr="00FD5929">
        <w:rPr>
          <w:rFonts w:ascii="Arial" w:hAnsi="Arial" w:cs="Arial"/>
          <w:sz w:val="22"/>
          <w:szCs w:val="22"/>
        </w:rPr>
        <w:t>, a</w:t>
      </w:r>
      <w:r w:rsidR="000F58D1">
        <w:rPr>
          <w:rFonts w:ascii="Arial" w:hAnsi="Arial" w:cs="Arial"/>
          <w:sz w:val="22"/>
          <w:szCs w:val="22"/>
        </w:rPr>
        <w:t> </w:t>
      </w:r>
      <w:r w:rsidRPr="00FD5929">
        <w:rPr>
          <w:rFonts w:ascii="Arial" w:hAnsi="Arial" w:cs="Arial"/>
          <w:sz w:val="22"/>
          <w:szCs w:val="22"/>
        </w:rPr>
        <w:t xml:space="preserve">finančními zdroji, včetně mezinárodního srovnání. </w:t>
      </w:r>
    </w:p>
    <w:p w:rsidR="001E1F03" w:rsidRDefault="001E1F03" w:rsidP="000F58D1">
      <w:pPr>
        <w:pStyle w:val="Odstavecseseznamem"/>
        <w:spacing w:after="120"/>
        <w:ind w:left="0"/>
        <w:jc w:val="both"/>
        <w:rPr>
          <w:rFonts w:ascii="Arial" w:hAnsi="Arial" w:cs="Arial"/>
          <w:sz w:val="22"/>
          <w:szCs w:val="22"/>
        </w:rPr>
      </w:pPr>
      <w:r w:rsidRPr="00FD5929">
        <w:rPr>
          <w:rFonts w:ascii="Arial" w:hAnsi="Arial" w:cs="Arial"/>
          <w:sz w:val="22"/>
          <w:szCs w:val="22"/>
        </w:rPr>
        <w:t>Uvádí především:</w:t>
      </w:r>
    </w:p>
    <w:p w:rsidR="000F58D1" w:rsidRPr="00FD5929" w:rsidRDefault="000F58D1" w:rsidP="000F58D1">
      <w:pPr>
        <w:pStyle w:val="Odstavecseseznamem"/>
        <w:spacing w:after="120"/>
        <w:ind w:left="357"/>
        <w:jc w:val="both"/>
        <w:rPr>
          <w:rFonts w:ascii="Arial" w:hAnsi="Arial" w:cs="Arial"/>
          <w:sz w:val="22"/>
          <w:szCs w:val="22"/>
        </w:rPr>
      </w:pPr>
    </w:p>
    <w:p w:rsidR="001E1F03" w:rsidRPr="00FD5929" w:rsidRDefault="001E1F03" w:rsidP="001E1F03">
      <w:pPr>
        <w:pStyle w:val="Odstavecseseznamem"/>
        <w:numPr>
          <w:ilvl w:val="0"/>
          <w:numId w:val="2"/>
        </w:numPr>
        <w:spacing w:after="120"/>
        <w:ind w:left="714" w:hanging="357"/>
        <w:contextualSpacing w:val="0"/>
        <w:jc w:val="both"/>
        <w:rPr>
          <w:rFonts w:ascii="Arial" w:hAnsi="Arial" w:cs="Arial"/>
          <w:sz w:val="22"/>
          <w:szCs w:val="22"/>
        </w:rPr>
      </w:pPr>
      <w:r w:rsidRPr="00FD5929">
        <w:rPr>
          <w:rFonts w:ascii="Arial" w:hAnsi="Arial" w:cs="Arial"/>
          <w:sz w:val="22"/>
          <w:szCs w:val="22"/>
        </w:rPr>
        <w:t xml:space="preserve">Celkové výdaje na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v roce 2013 a jejich trend v období 2000 – 2013 a jejich členění na domácí veřejné, domácí podnikatelské, zahraniční veřejné a zahraniční podnikatelské zdroje a mezinárodní srovnání celkových výdajů na </w:t>
      </w:r>
      <w:proofErr w:type="spellStart"/>
      <w:r w:rsidRPr="00FD5929">
        <w:rPr>
          <w:rFonts w:ascii="Arial" w:hAnsi="Arial" w:cs="Arial"/>
          <w:sz w:val="22"/>
          <w:szCs w:val="22"/>
        </w:rPr>
        <w:t>VaVaI</w:t>
      </w:r>
      <w:proofErr w:type="spellEnd"/>
      <w:r w:rsidRPr="00FD5929">
        <w:rPr>
          <w:rFonts w:ascii="Arial" w:hAnsi="Arial" w:cs="Arial"/>
          <w:sz w:val="22"/>
          <w:szCs w:val="22"/>
        </w:rPr>
        <w:t>.</w:t>
      </w:r>
    </w:p>
    <w:p w:rsidR="001E1F03" w:rsidRPr="00FD5929" w:rsidRDefault="001E1F03" w:rsidP="001E1F03">
      <w:pPr>
        <w:pStyle w:val="Odstavecseseznamem"/>
        <w:numPr>
          <w:ilvl w:val="0"/>
          <w:numId w:val="2"/>
        </w:numPr>
        <w:spacing w:after="120"/>
        <w:ind w:left="714" w:hanging="357"/>
        <w:contextualSpacing w:val="0"/>
        <w:jc w:val="both"/>
        <w:rPr>
          <w:rFonts w:ascii="Arial" w:hAnsi="Arial" w:cs="Arial"/>
          <w:sz w:val="22"/>
          <w:szCs w:val="22"/>
        </w:rPr>
      </w:pPr>
      <w:r w:rsidRPr="00FD5929">
        <w:rPr>
          <w:rFonts w:ascii="Arial" w:hAnsi="Arial" w:cs="Arial"/>
          <w:sz w:val="22"/>
          <w:szCs w:val="22"/>
        </w:rPr>
        <w:t xml:space="preserve">Čerpání jednotlivými sektory provádějícími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ve vazbě na zdroje financí v roce 2013.</w:t>
      </w:r>
    </w:p>
    <w:p w:rsidR="001E1F03" w:rsidRPr="00FD5929" w:rsidRDefault="001E1F03" w:rsidP="001E1F03">
      <w:pPr>
        <w:pStyle w:val="Odstavecseseznamem"/>
        <w:numPr>
          <w:ilvl w:val="0"/>
          <w:numId w:val="2"/>
        </w:numPr>
        <w:spacing w:after="120"/>
        <w:ind w:left="714" w:hanging="357"/>
        <w:contextualSpacing w:val="0"/>
        <w:jc w:val="both"/>
        <w:rPr>
          <w:rFonts w:ascii="Arial" w:hAnsi="Arial" w:cs="Arial"/>
          <w:sz w:val="22"/>
          <w:szCs w:val="22"/>
        </w:rPr>
      </w:pPr>
      <w:r w:rsidRPr="00FD5929">
        <w:rPr>
          <w:rFonts w:ascii="Arial" w:hAnsi="Arial" w:cs="Arial"/>
          <w:sz w:val="22"/>
          <w:szCs w:val="22"/>
        </w:rPr>
        <w:lastRenderedPageBreak/>
        <w:t>Mezinárodní srovnání podílu podnikatelských finančních zdrojů ve vládním a</w:t>
      </w:r>
      <w:r w:rsidR="000F58D1">
        <w:rPr>
          <w:rFonts w:ascii="Arial" w:hAnsi="Arial" w:cs="Arial"/>
          <w:sz w:val="22"/>
          <w:szCs w:val="22"/>
        </w:rPr>
        <w:t> </w:t>
      </w:r>
      <w:r w:rsidRPr="00FD5929">
        <w:rPr>
          <w:rFonts w:ascii="Arial" w:hAnsi="Arial" w:cs="Arial"/>
          <w:sz w:val="22"/>
          <w:szCs w:val="22"/>
        </w:rPr>
        <w:t>vysokoškolském a sektoru a domácích veřejných zdrojů v podnikatelském sektoru.</w:t>
      </w:r>
    </w:p>
    <w:p w:rsidR="001E1F03" w:rsidRPr="00FD5929" w:rsidRDefault="001E1F03" w:rsidP="001E1F03">
      <w:pPr>
        <w:pStyle w:val="Odstavecseseznamem"/>
        <w:numPr>
          <w:ilvl w:val="0"/>
          <w:numId w:val="2"/>
        </w:numPr>
        <w:spacing w:after="120"/>
        <w:ind w:left="714" w:hanging="357"/>
        <w:contextualSpacing w:val="0"/>
        <w:jc w:val="both"/>
        <w:rPr>
          <w:rFonts w:ascii="Arial" w:hAnsi="Arial" w:cs="Arial"/>
          <w:sz w:val="22"/>
          <w:szCs w:val="22"/>
        </w:rPr>
      </w:pPr>
      <w:r w:rsidRPr="00FD5929">
        <w:rPr>
          <w:rFonts w:ascii="Arial" w:hAnsi="Arial" w:cs="Arial"/>
          <w:sz w:val="22"/>
          <w:szCs w:val="22"/>
        </w:rPr>
        <w:t xml:space="preserve">Přímou a nepřímou podporu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v podnikatelském sektoru a meziroční trend těchto ukazatelů.</w:t>
      </w:r>
    </w:p>
    <w:p w:rsidR="001E1F03" w:rsidRPr="00FD5929" w:rsidRDefault="001E1F03" w:rsidP="001E1F03">
      <w:pPr>
        <w:pStyle w:val="Odstavecseseznamem"/>
        <w:numPr>
          <w:ilvl w:val="0"/>
          <w:numId w:val="2"/>
        </w:numPr>
        <w:spacing w:after="120"/>
        <w:ind w:left="714" w:hanging="357"/>
        <w:contextualSpacing w:val="0"/>
        <w:jc w:val="both"/>
        <w:rPr>
          <w:rFonts w:ascii="Arial" w:hAnsi="Arial" w:cs="Arial"/>
          <w:sz w:val="22"/>
          <w:szCs w:val="22"/>
        </w:rPr>
      </w:pPr>
      <w:r w:rsidRPr="00FD5929">
        <w:rPr>
          <w:rFonts w:ascii="Arial" w:hAnsi="Arial" w:cs="Arial"/>
          <w:sz w:val="22"/>
          <w:szCs w:val="22"/>
        </w:rPr>
        <w:t>Detailní rozbor výdajů podnikatelského sektoru pocházející z veřejných rozpočtů ČR podle typu podpory a charakteru subjektů.</w:t>
      </w:r>
    </w:p>
    <w:p w:rsidR="001E1F03" w:rsidRPr="00FD5929" w:rsidRDefault="001E1F03" w:rsidP="001E1F03">
      <w:pPr>
        <w:pStyle w:val="Odstavecseseznamem"/>
        <w:numPr>
          <w:ilvl w:val="0"/>
          <w:numId w:val="2"/>
        </w:numPr>
        <w:spacing w:after="120"/>
        <w:ind w:left="714" w:hanging="357"/>
        <w:contextualSpacing w:val="0"/>
        <w:jc w:val="both"/>
        <w:rPr>
          <w:rFonts w:ascii="Arial" w:hAnsi="Arial" w:cs="Arial"/>
          <w:sz w:val="22"/>
          <w:szCs w:val="22"/>
        </w:rPr>
      </w:pPr>
      <w:r w:rsidRPr="00FD5929">
        <w:rPr>
          <w:rFonts w:ascii="Arial" w:hAnsi="Arial" w:cs="Arial"/>
          <w:sz w:val="22"/>
          <w:szCs w:val="22"/>
        </w:rPr>
        <w:t xml:space="preserve">Mezinárodní srovnání přímé a nepřímé podpory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v podnikatelském sektoru.</w:t>
      </w:r>
    </w:p>
    <w:p w:rsidR="001E1F03" w:rsidRDefault="00B861F5" w:rsidP="009B0875">
      <w:pPr>
        <w:pStyle w:val="Odstavecseseznamem"/>
        <w:spacing w:after="120"/>
        <w:ind w:left="0"/>
        <w:jc w:val="both"/>
        <w:rPr>
          <w:rFonts w:ascii="Arial" w:hAnsi="Arial" w:cs="Arial"/>
          <w:sz w:val="22"/>
          <w:szCs w:val="22"/>
        </w:rPr>
      </w:pPr>
      <w:r w:rsidRPr="00FD5929">
        <w:rPr>
          <w:rFonts w:ascii="Arial" w:hAnsi="Arial" w:cs="Arial"/>
          <w:sz w:val="22"/>
          <w:szCs w:val="22"/>
        </w:rPr>
        <w:t xml:space="preserve">Analýzou bylo zjištěno, že podnikatelské zdroje systému </w:t>
      </w:r>
      <w:r w:rsidRPr="001E1F03">
        <w:rPr>
          <w:rFonts w:ascii="Arial" w:hAnsi="Arial" w:cs="Arial"/>
          <w:b/>
          <w:sz w:val="22"/>
          <w:szCs w:val="22"/>
        </w:rPr>
        <w:t xml:space="preserve">jsou využívány téměř výhradně k financování podnikatelského sektoru. Z celkových podnikatelských zdrojů </w:t>
      </w:r>
      <w:r w:rsidR="00CC2032" w:rsidRPr="001E1F03">
        <w:rPr>
          <w:rFonts w:ascii="Arial" w:hAnsi="Arial" w:cs="Arial"/>
          <w:b/>
          <w:sz w:val="22"/>
          <w:szCs w:val="22"/>
        </w:rPr>
        <w:t xml:space="preserve">ve výši téměř 38 mld. Kč </w:t>
      </w:r>
      <w:r w:rsidRPr="001E1F03">
        <w:rPr>
          <w:rFonts w:ascii="Arial" w:hAnsi="Arial" w:cs="Arial"/>
          <w:b/>
          <w:sz w:val="22"/>
          <w:szCs w:val="22"/>
        </w:rPr>
        <w:t xml:space="preserve">bylo </w:t>
      </w:r>
      <w:r w:rsidR="00CC2032" w:rsidRPr="001E1F03">
        <w:rPr>
          <w:rFonts w:ascii="Arial" w:hAnsi="Arial" w:cs="Arial"/>
          <w:b/>
          <w:sz w:val="22"/>
          <w:szCs w:val="22"/>
        </w:rPr>
        <w:t>ve vysokoškolském a veřejném sektoru využito pouze necelá 1</w:t>
      </w:r>
      <w:r w:rsidR="009B0875">
        <w:rPr>
          <w:rFonts w:ascii="Arial" w:hAnsi="Arial" w:cs="Arial"/>
          <w:b/>
          <w:sz w:val="22"/>
          <w:szCs w:val="22"/>
        </w:rPr>
        <w:t> </w:t>
      </w:r>
      <w:r w:rsidR="00CC2032" w:rsidRPr="001E1F03">
        <w:rPr>
          <w:rFonts w:ascii="Arial" w:hAnsi="Arial" w:cs="Arial"/>
          <w:b/>
          <w:sz w:val="22"/>
          <w:szCs w:val="22"/>
        </w:rPr>
        <w:t>mld. Kč.</w:t>
      </w:r>
      <w:r w:rsidR="00CC2032" w:rsidRPr="00FD5929">
        <w:rPr>
          <w:rFonts w:ascii="Arial" w:hAnsi="Arial" w:cs="Arial"/>
          <w:sz w:val="22"/>
          <w:szCs w:val="22"/>
        </w:rPr>
        <w:t xml:space="preserve"> Tato situace naznačuje nevyužitý potenciál soukromých zdrojů pro financování systému </w:t>
      </w:r>
      <w:proofErr w:type="spellStart"/>
      <w:r w:rsidR="00CC2032" w:rsidRPr="00FD5929">
        <w:rPr>
          <w:rFonts w:ascii="Arial" w:hAnsi="Arial" w:cs="Arial"/>
          <w:sz w:val="22"/>
          <w:szCs w:val="22"/>
        </w:rPr>
        <w:t>VaVaI</w:t>
      </w:r>
      <w:proofErr w:type="spellEnd"/>
      <w:r w:rsidR="00CC2032" w:rsidRPr="00FD5929">
        <w:rPr>
          <w:rFonts w:ascii="Arial" w:hAnsi="Arial" w:cs="Arial"/>
          <w:sz w:val="22"/>
          <w:szCs w:val="22"/>
        </w:rPr>
        <w:t xml:space="preserve"> po ukončení masivního dočasného masivního přílivu prostředků ze zdrojů EU v letech 2020/2023. </w:t>
      </w:r>
    </w:p>
    <w:p w:rsidR="001E1F03" w:rsidRDefault="001E1F03" w:rsidP="009B0875">
      <w:pPr>
        <w:pStyle w:val="Odstavecseseznamem"/>
        <w:spacing w:after="120"/>
        <w:ind w:left="0"/>
        <w:jc w:val="both"/>
        <w:rPr>
          <w:rFonts w:ascii="Arial" w:hAnsi="Arial" w:cs="Arial"/>
          <w:sz w:val="22"/>
          <w:szCs w:val="22"/>
        </w:rPr>
      </w:pPr>
    </w:p>
    <w:p w:rsidR="000625CB" w:rsidRPr="00FD5929" w:rsidRDefault="001E1F03" w:rsidP="009B0875">
      <w:pPr>
        <w:pStyle w:val="Odstavecseseznamem"/>
        <w:spacing w:after="120"/>
        <w:ind w:left="0"/>
        <w:jc w:val="both"/>
        <w:rPr>
          <w:rFonts w:ascii="Arial" w:hAnsi="Arial" w:cs="Arial"/>
          <w:b/>
          <w:sz w:val="22"/>
          <w:szCs w:val="22"/>
        </w:rPr>
      </w:pPr>
      <w:r>
        <w:rPr>
          <w:rFonts w:ascii="Arial" w:hAnsi="Arial" w:cs="Arial"/>
          <w:b/>
          <w:sz w:val="22"/>
          <w:szCs w:val="22"/>
        </w:rPr>
        <w:t>K</w:t>
      </w:r>
      <w:r w:rsidR="00110767" w:rsidRPr="00FD5929">
        <w:rPr>
          <w:rFonts w:ascii="Arial" w:hAnsi="Arial" w:cs="Arial"/>
          <w:b/>
          <w:sz w:val="22"/>
          <w:szCs w:val="22"/>
        </w:rPr>
        <w:t>apitola R</w:t>
      </w:r>
      <w:r w:rsidR="002A4EA5" w:rsidRPr="00FD5929">
        <w:rPr>
          <w:rFonts w:ascii="Arial" w:hAnsi="Arial" w:cs="Arial"/>
          <w:b/>
          <w:sz w:val="22"/>
          <w:szCs w:val="22"/>
        </w:rPr>
        <w:t xml:space="preserve">ozbor státního rozpočtu na </w:t>
      </w:r>
      <w:proofErr w:type="spellStart"/>
      <w:r w:rsidR="002A4EA5" w:rsidRPr="00FD5929">
        <w:rPr>
          <w:rFonts w:ascii="Arial" w:hAnsi="Arial" w:cs="Arial"/>
          <w:b/>
          <w:sz w:val="22"/>
          <w:szCs w:val="22"/>
        </w:rPr>
        <w:t>VaVaI</w:t>
      </w:r>
      <w:proofErr w:type="spellEnd"/>
      <w:r w:rsidR="002A4EA5" w:rsidRPr="00FD5929">
        <w:rPr>
          <w:rFonts w:ascii="Arial" w:hAnsi="Arial" w:cs="Arial"/>
          <w:b/>
          <w:sz w:val="22"/>
          <w:szCs w:val="22"/>
        </w:rPr>
        <w:t xml:space="preserve"> </w:t>
      </w:r>
      <w:r w:rsidR="00C37044" w:rsidRPr="00FD5929">
        <w:rPr>
          <w:rFonts w:ascii="Arial" w:hAnsi="Arial" w:cs="Arial"/>
          <w:b/>
          <w:sz w:val="22"/>
          <w:szCs w:val="22"/>
        </w:rPr>
        <w:t>se zaměřuje na jednotlivé finanční nástroje</w:t>
      </w:r>
      <w:r w:rsidR="000625CB" w:rsidRPr="00FD5929">
        <w:rPr>
          <w:rFonts w:ascii="Arial" w:hAnsi="Arial" w:cs="Arial"/>
          <w:b/>
          <w:sz w:val="22"/>
          <w:szCs w:val="22"/>
        </w:rPr>
        <w:t xml:space="preserve"> (dotační tituly)</w:t>
      </w:r>
      <w:r w:rsidR="00C37044" w:rsidRPr="00FD5929">
        <w:rPr>
          <w:rFonts w:ascii="Arial" w:hAnsi="Arial" w:cs="Arial"/>
          <w:b/>
          <w:sz w:val="22"/>
          <w:szCs w:val="22"/>
        </w:rPr>
        <w:t xml:space="preserve"> podpory ze stát</w:t>
      </w:r>
      <w:r w:rsidR="000F58D1">
        <w:rPr>
          <w:rFonts w:ascii="Arial" w:hAnsi="Arial" w:cs="Arial"/>
          <w:b/>
          <w:sz w:val="22"/>
          <w:szCs w:val="22"/>
        </w:rPr>
        <w:t>ního rozpočtu a naznačuje řešení</w:t>
      </w:r>
      <w:r w:rsidR="00C37044" w:rsidRPr="00FD5929">
        <w:rPr>
          <w:rFonts w:ascii="Arial" w:hAnsi="Arial" w:cs="Arial"/>
          <w:b/>
          <w:sz w:val="22"/>
          <w:szCs w:val="22"/>
        </w:rPr>
        <w:t xml:space="preserve"> případných změn systému financování veřejné podpory. </w:t>
      </w:r>
      <w:r w:rsidR="000625CB" w:rsidRPr="00FD5929">
        <w:rPr>
          <w:rFonts w:ascii="Arial" w:hAnsi="Arial" w:cs="Arial"/>
          <w:b/>
          <w:sz w:val="22"/>
          <w:szCs w:val="22"/>
        </w:rPr>
        <w:t xml:space="preserve">Právě tyto nástroje jsou pro systémové změny </w:t>
      </w:r>
      <w:proofErr w:type="spellStart"/>
      <w:r w:rsidR="000625CB" w:rsidRPr="00FD5929">
        <w:rPr>
          <w:rFonts w:ascii="Arial" w:hAnsi="Arial" w:cs="Arial"/>
          <w:b/>
          <w:sz w:val="22"/>
          <w:szCs w:val="22"/>
        </w:rPr>
        <w:t>VaVaI</w:t>
      </w:r>
      <w:proofErr w:type="spellEnd"/>
      <w:r w:rsidR="000625CB" w:rsidRPr="00FD5929">
        <w:rPr>
          <w:rFonts w:ascii="Arial" w:hAnsi="Arial" w:cs="Arial"/>
          <w:b/>
          <w:sz w:val="22"/>
          <w:szCs w:val="22"/>
        </w:rPr>
        <w:t xml:space="preserve"> klíčové. </w:t>
      </w:r>
    </w:p>
    <w:p w:rsidR="000625CB" w:rsidRPr="00FD5929" w:rsidRDefault="000625CB" w:rsidP="009B0875">
      <w:pPr>
        <w:pStyle w:val="Odstavecseseznamem"/>
        <w:spacing w:after="120"/>
        <w:ind w:left="0"/>
        <w:jc w:val="both"/>
        <w:rPr>
          <w:rFonts w:ascii="Arial" w:hAnsi="Arial" w:cs="Arial"/>
          <w:b/>
          <w:sz w:val="22"/>
          <w:szCs w:val="22"/>
        </w:rPr>
      </w:pPr>
    </w:p>
    <w:p w:rsidR="009B0875" w:rsidRDefault="00C37044" w:rsidP="009B0875">
      <w:pPr>
        <w:pStyle w:val="Odstavecseseznamem"/>
        <w:spacing w:after="120"/>
        <w:ind w:left="0"/>
        <w:jc w:val="both"/>
        <w:rPr>
          <w:rFonts w:ascii="Arial" w:hAnsi="Arial" w:cs="Arial"/>
          <w:sz w:val="22"/>
          <w:szCs w:val="22"/>
        </w:rPr>
      </w:pPr>
      <w:r w:rsidRPr="00FD5929">
        <w:rPr>
          <w:rFonts w:ascii="Arial" w:hAnsi="Arial" w:cs="Arial"/>
          <w:sz w:val="22"/>
          <w:szCs w:val="22"/>
        </w:rPr>
        <w:t xml:space="preserve">Kapitola </w:t>
      </w:r>
      <w:r w:rsidR="002A4EA5" w:rsidRPr="00FD5929">
        <w:rPr>
          <w:rFonts w:ascii="Arial" w:hAnsi="Arial" w:cs="Arial"/>
          <w:sz w:val="22"/>
          <w:szCs w:val="22"/>
        </w:rPr>
        <w:t>popisuje jednotlivé finanční nástroje a</w:t>
      </w:r>
      <w:r w:rsidR="009F52E2" w:rsidRPr="00FD5929">
        <w:rPr>
          <w:rFonts w:ascii="Arial" w:hAnsi="Arial" w:cs="Arial"/>
          <w:sz w:val="22"/>
          <w:szCs w:val="22"/>
        </w:rPr>
        <w:t> </w:t>
      </w:r>
      <w:r w:rsidR="002A4EA5" w:rsidRPr="00FD5929">
        <w:rPr>
          <w:rFonts w:ascii="Arial" w:hAnsi="Arial" w:cs="Arial"/>
          <w:sz w:val="22"/>
          <w:szCs w:val="22"/>
        </w:rPr>
        <w:t>jejich využití rozdílnými skupinami příjemců</w:t>
      </w:r>
      <w:r w:rsidR="002D7761" w:rsidRPr="00FD5929">
        <w:rPr>
          <w:rFonts w:ascii="Arial" w:hAnsi="Arial" w:cs="Arial"/>
          <w:sz w:val="22"/>
          <w:szCs w:val="22"/>
        </w:rPr>
        <w:t>,</w:t>
      </w:r>
      <w:r w:rsidR="002A4EA5" w:rsidRPr="00FD5929">
        <w:rPr>
          <w:rFonts w:ascii="Arial" w:hAnsi="Arial" w:cs="Arial"/>
          <w:sz w:val="22"/>
          <w:szCs w:val="22"/>
        </w:rPr>
        <w:t xml:space="preserve"> včetně oborového členění</w:t>
      </w:r>
      <w:r w:rsidR="002D7761" w:rsidRPr="00FD5929">
        <w:rPr>
          <w:rFonts w:ascii="Arial" w:hAnsi="Arial" w:cs="Arial"/>
          <w:sz w:val="22"/>
          <w:szCs w:val="22"/>
        </w:rPr>
        <w:t xml:space="preserve"> vynaložených prostředků</w:t>
      </w:r>
      <w:r w:rsidR="002A4EA5" w:rsidRPr="00FD5929">
        <w:rPr>
          <w:rFonts w:ascii="Arial" w:hAnsi="Arial" w:cs="Arial"/>
          <w:sz w:val="22"/>
          <w:szCs w:val="22"/>
        </w:rPr>
        <w:t>.</w:t>
      </w:r>
      <w:r w:rsidR="00BD6325" w:rsidRPr="00FD5929">
        <w:rPr>
          <w:rFonts w:ascii="Arial" w:hAnsi="Arial" w:cs="Arial"/>
          <w:sz w:val="22"/>
          <w:szCs w:val="22"/>
        </w:rPr>
        <w:t xml:space="preserve"> </w:t>
      </w:r>
    </w:p>
    <w:p w:rsidR="002A4EA5" w:rsidRPr="00FD5929" w:rsidRDefault="00BD6325" w:rsidP="009B0875">
      <w:pPr>
        <w:pStyle w:val="Odstavecseseznamem"/>
        <w:spacing w:after="120"/>
        <w:ind w:left="0"/>
        <w:jc w:val="both"/>
        <w:rPr>
          <w:rFonts w:ascii="Arial" w:hAnsi="Arial" w:cs="Arial"/>
          <w:b/>
          <w:sz w:val="22"/>
          <w:szCs w:val="22"/>
        </w:rPr>
      </w:pPr>
      <w:r w:rsidRPr="00FD5929">
        <w:rPr>
          <w:rFonts w:ascii="Arial" w:hAnsi="Arial" w:cs="Arial"/>
          <w:sz w:val="22"/>
          <w:szCs w:val="22"/>
        </w:rPr>
        <w:t xml:space="preserve">Obsahuje </w:t>
      </w:r>
      <w:r w:rsidR="009B0875">
        <w:rPr>
          <w:rFonts w:ascii="Arial" w:hAnsi="Arial" w:cs="Arial"/>
          <w:sz w:val="22"/>
          <w:szCs w:val="22"/>
        </w:rPr>
        <w:t>především</w:t>
      </w:r>
      <w:r w:rsidRPr="00FD5929">
        <w:rPr>
          <w:rFonts w:ascii="Arial" w:hAnsi="Arial" w:cs="Arial"/>
          <w:sz w:val="22"/>
          <w:szCs w:val="22"/>
        </w:rPr>
        <w:t>:</w:t>
      </w:r>
    </w:p>
    <w:p w:rsidR="00C37044" w:rsidRPr="00FD5929" w:rsidRDefault="00C37044" w:rsidP="00C37044">
      <w:pPr>
        <w:pStyle w:val="Odstavecseseznamem"/>
        <w:spacing w:after="120"/>
        <w:ind w:left="360"/>
        <w:jc w:val="both"/>
        <w:rPr>
          <w:rFonts w:ascii="Arial" w:hAnsi="Arial" w:cs="Arial"/>
          <w:b/>
          <w:sz w:val="22"/>
          <w:szCs w:val="22"/>
        </w:rPr>
      </w:pPr>
    </w:p>
    <w:p w:rsidR="00BD6325" w:rsidRDefault="00BD6325" w:rsidP="000F58D1">
      <w:pPr>
        <w:pStyle w:val="Odstavecseseznamem"/>
        <w:numPr>
          <w:ilvl w:val="0"/>
          <w:numId w:val="3"/>
        </w:numPr>
        <w:spacing w:before="120" w:after="120"/>
        <w:ind w:left="714" w:hanging="357"/>
        <w:jc w:val="both"/>
        <w:rPr>
          <w:rFonts w:ascii="Arial" w:hAnsi="Arial" w:cs="Arial"/>
          <w:sz w:val="22"/>
          <w:szCs w:val="22"/>
        </w:rPr>
      </w:pPr>
      <w:r w:rsidRPr="00FD5929">
        <w:rPr>
          <w:rFonts w:ascii="Arial" w:hAnsi="Arial" w:cs="Arial"/>
          <w:sz w:val="22"/>
          <w:szCs w:val="22"/>
        </w:rPr>
        <w:t>Popis procesu tvorby návrhu státního rozpočtu a jeho střednědobého výhledu</w:t>
      </w:r>
      <w:r w:rsidR="00C37044" w:rsidRPr="00FD5929">
        <w:rPr>
          <w:rFonts w:ascii="Arial" w:hAnsi="Arial" w:cs="Arial"/>
          <w:sz w:val="22"/>
          <w:szCs w:val="22"/>
        </w:rPr>
        <w:t>- jednoznačně patrná je komplikovanost a nepřehl</w:t>
      </w:r>
      <w:r w:rsidR="000625CB" w:rsidRPr="00FD5929">
        <w:rPr>
          <w:rFonts w:ascii="Arial" w:hAnsi="Arial" w:cs="Arial"/>
          <w:sz w:val="22"/>
          <w:szCs w:val="22"/>
        </w:rPr>
        <w:t>e</w:t>
      </w:r>
      <w:r w:rsidR="00C37044" w:rsidRPr="00FD5929">
        <w:rPr>
          <w:rFonts w:ascii="Arial" w:hAnsi="Arial" w:cs="Arial"/>
          <w:sz w:val="22"/>
          <w:szCs w:val="22"/>
        </w:rPr>
        <w:t xml:space="preserve">dnost </w:t>
      </w:r>
      <w:r w:rsidR="000625CB" w:rsidRPr="00FD5929">
        <w:rPr>
          <w:rFonts w:ascii="Arial" w:hAnsi="Arial" w:cs="Arial"/>
          <w:sz w:val="22"/>
          <w:szCs w:val="22"/>
        </w:rPr>
        <w:t xml:space="preserve">systému financování. </w:t>
      </w:r>
    </w:p>
    <w:p w:rsidR="009B0875" w:rsidRPr="009B0875" w:rsidRDefault="009B0875" w:rsidP="009B0875">
      <w:pPr>
        <w:pStyle w:val="Odstavecseseznamem"/>
        <w:spacing w:before="120" w:after="120"/>
        <w:ind w:left="714"/>
        <w:jc w:val="both"/>
        <w:rPr>
          <w:rFonts w:ascii="Arial" w:hAnsi="Arial" w:cs="Arial"/>
          <w:sz w:val="16"/>
          <w:szCs w:val="16"/>
        </w:rPr>
      </w:pPr>
    </w:p>
    <w:p w:rsidR="00BD6325" w:rsidRDefault="00BD6325" w:rsidP="000F58D1">
      <w:pPr>
        <w:pStyle w:val="Odstavecseseznamem"/>
        <w:numPr>
          <w:ilvl w:val="0"/>
          <w:numId w:val="3"/>
        </w:numPr>
        <w:spacing w:before="120" w:after="120"/>
        <w:ind w:left="714" w:hanging="357"/>
        <w:jc w:val="both"/>
        <w:rPr>
          <w:rFonts w:ascii="Arial" w:hAnsi="Arial" w:cs="Arial"/>
          <w:sz w:val="22"/>
          <w:szCs w:val="22"/>
        </w:rPr>
      </w:pPr>
      <w:r w:rsidRPr="00FD5929">
        <w:rPr>
          <w:rFonts w:ascii="Arial" w:hAnsi="Arial" w:cs="Arial"/>
          <w:sz w:val="22"/>
          <w:szCs w:val="22"/>
        </w:rPr>
        <w:t>Charakteristiku jednotlivých finančních nástrojů a jejich finanční alokaci v roce 2014</w:t>
      </w:r>
      <w:r w:rsidR="00D51113" w:rsidRPr="00FD5929">
        <w:rPr>
          <w:rFonts w:ascii="Arial" w:hAnsi="Arial" w:cs="Arial"/>
          <w:sz w:val="22"/>
          <w:szCs w:val="22"/>
        </w:rPr>
        <w:t>.</w:t>
      </w:r>
    </w:p>
    <w:p w:rsidR="009B0875" w:rsidRPr="009B0875" w:rsidRDefault="009B0875" w:rsidP="009B0875">
      <w:pPr>
        <w:pStyle w:val="Odstavecseseznamem"/>
        <w:rPr>
          <w:rFonts w:ascii="Arial" w:hAnsi="Arial" w:cs="Arial"/>
          <w:sz w:val="16"/>
          <w:szCs w:val="16"/>
        </w:rPr>
      </w:pPr>
    </w:p>
    <w:p w:rsidR="00BD6325" w:rsidRDefault="00BD6325" w:rsidP="000F58D1">
      <w:pPr>
        <w:pStyle w:val="Odstavecseseznamem"/>
        <w:numPr>
          <w:ilvl w:val="0"/>
          <w:numId w:val="3"/>
        </w:numPr>
        <w:spacing w:before="120" w:after="120"/>
        <w:ind w:left="714" w:hanging="357"/>
        <w:jc w:val="both"/>
        <w:rPr>
          <w:rFonts w:ascii="Arial" w:hAnsi="Arial" w:cs="Arial"/>
          <w:sz w:val="22"/>
          <w:szCs w:val="22"/>
        </w:rPr>
      </w:pPr>
      <w:r w:rsidRPr="00FD5929">
        <w:rPr>
          <w:rFonts w:ascii="Arial" w:hAnsi="Arial" w:cs="Arial"/>
          <w:sz w:val="22"/>
          <w:szCs w:val="22"/>
        </w:rPr>
        <w:t>Poměr mezi účelovými a institucionálními prostředky přidělenými jednotlivým skupinám příjemců (ústavy Akademie věd, vysoké školy, státní příspěvkové organizace, podniky)</w:t>
      </w:r>
      <w:r w:rsidR="009B0875">
        <w:rPr>
          <w:rFonts w:ascii="Arial" w:hAnsi="Arial" w:cs="Arial"/>
          <w:sz w:val="22"/>
          <w:szCs w:val="22"/>
        </w:rPr>
        <w:t>.</w:t>
      </w:r>
    </w:p>
    <w:p w:rsidR="009B0875" w:rsidRPr="009B0875" w:rsidRDefault="009B0875" w:rsidP="009B0875">
      <w:pPr>
        <w:pStyle w:val="Odstavecseseznamem"/>
        <w:rPr>
          <w:rFonts w:ascii="Arial" w:hAnsi="Arial" w:cs="Arial"/>
          <w:sz w:val="16"/>
          <w:szCs w:val="16"/>
        </w:rPr>
      </w:pPr>
    </w:p>
    <w:p w:rsidR="00BD6325" w:rsidRDefault="00BD6325" w:rsidP="000F58D1">
      <w:pPr>
        <w:pStyle w:val="Odstavecseseznamem"/>
        <w:numPr>
          <w:ilvl w:val="0"/>
          <w:numId w:val="3"/>
        </w:numPr>
        <w:spacing w:before="120" w:after="120"/>
        <w:ind w:left="714" w:hanging="357"/>
        <w:jc w:val="both"/>
        <w:rPr>
          <w:rFonts w:ascii="Arial" w:hAnsi="Arial" w:cs="Arial"/>
          <w:sz w:val="22"/>
          <w:szCs w:val="22"/>
        </w:rPr>
      </w:pPr>
      <w:r w:rsidRPr="00FD5929">
        <w:rPr>
          <w:rFonts w:ascii="Arial" w:hAnsi="Arial" w:cs="Arial"/>
          <w:sz w:val="22"/>
          <w:szCs w:val="22"/>
        </w:rPr>
        <w:t>Objemy finančních prostředků přidělené skupinám příjemců prostřednictvím jednotlivých poskytovatelů formou účelové a institucionální podpory v roce 2014</w:t>
      </w:r>
      <w:r w:rsidR="00D51113" w:rsidRPr="00FD5929">
        <w:rPr>
          <w:rFonts w:ascii="Arial" w:hAnsi="Arial" w:cs="Arial"/>
          <w:sz w:val="22"/>
          <w:szCs w:val="22"/>
        </w:rPr>
        <w:t>.</w:t>
      </w:r>
    </w:p>
    <w:p w:rsidR="009B0875" w:rsidRPr="009B0875" w:rsidRDefault="009B0875" w:rsidP="009B0875">
      <w:pPr>
        <w:pStyle w:val="Odstavecseseznamem"/>
        <w:rPr>
          <w:rFonts w:ascii="Arial" w:hAnsi="Arial" w:cs="Arial"/>
          <w:sz w:val="16"/>
          <w:szCs w:val="16"/>
        </w:rPr>
      </w:pPr>
    </w:p>
    <w:p w:rsidR="00BD6325" w:rsidRPr="00FD5929" w:rsidRDefault="00BD6325" w:rsidP="00BD6325">
      <w:pPr>
        <w:pStyle w:val="Odstavecseseznamem"/>
        <w:numPr>
          <w:ilvl w:val="0"/>
          <w:numId w:val="3"/>
        </w:numPr>
        <w:spacing w:after="120"/>
        <w:jc w:val="both"/>
        <w:rPr>
          <w:rFonts w:ascii="Arial" w:hAnsi="Arial" w:cs="Arial"/>
          <w:sz w:val="22"/>
          <w:szCs w:val="22"/>
        </w:rPr>
      </w:pPr>
      <w:r w:rsidRPr="00FD5929">
        <w:rPr>
          <w:rFonts w:ascii="Arial" w:hAnsi="Arial" w:cs="Arial"/>
          <w:sz w:val="22"/>
          <w:szCs w:val="22"/>
        </w:rPr>
        <w:t>Účelovou podporu vynaloženou na programové a grantové projekty poskytnutou jednotlivým skupinám oborů a nejvýznamnějším oborům za rok 2014.</w:t>
      </w:r>
    </w:p>
    <w:p w:rsidR="000625CB" w:rsidRPr="00FD5929" w:rsidRDefault="000625CB" w:rsidP="000625CB">
      <w:pPr>
        <w:pStyle w:val="Odstavecseseznamem"/>
        <w:spacing w:after="120"/>
        <w:jc w:val="both"/>
        <w:rPr>
          <w:rFonts w:ascii="Arial" w:hAnsi="Arial" w:cs="Arial"/>
          <w:sz w:val="22"/>
          <w:szCs w:val="22"/>
        </w:rPr>
      </w:pPr>
    </w:p>
    <w:p w:rsidR="000625CB" w:rsidRPr="00FD5929" w:rsidRDefault="00E83996" w:rsidP="009B0875">
      <w:pPr>
        <w:pStyle w:val="Odstavecseseznamem"/>
        <w:spacing w:after="120"/>
        <w:ind w:left="0"/>
        <w:jc w:val="both"/>
        <w:rPr>
          <w:rFonts w:ascii="Arial" w:hAnsi="Arial" w:cs="Arial"/>
          <w:sz w:val="22"/>
          <w:szCs w:val="22"/>
        </w:rPr>
      </w:pPr>
      <w:r w:rsidRPr="00FD5929">
        <w:rPr>
          <w:rFonts w:ascii="Arial" w:hAnsi="Arial" w:cs="Arial"/>
          <w:b/>
          <w:sz w:val="22"/>
          <w:szCs w:val="22"/>
        </w:rPr>
        <w:t xml:space="preserve">Kapitola </w:t>
      </w:r>
      <w:r w:rsidR="00346FB6" w:rsidRPr="00FD5929">
        <w:rPr>
          <w:rFonts w:ascii="Arial" w:hAnsi="Arial" w:cs="Arial"/>
          <w:b/>
          <w:sz w:val="22"/>
          <w:szCs w:val="22"/>
        </w:rPr>
        <w:t>p</w:t>
      </w:r>
      <w:r w:rsidR="003B5664" w:rsidRPr="00FD5929">
        <w:rPr>
          <w:rFonts w:ascii="Arial" w:hAnsi="Arial" w:cs="Arial"/>
          <w:b/>
          <w:sz w:val="22"/>
          <w:szCs w:val="22"/>
        </w:rPr>
        <w:t xml:space="preserve">odpora </w:t>
      </w:r>
      <w:proofErr w:type="spellStart"/>
      <w:r w:rsidR="003B5664" w:rsidRPr="00FD5929">
        <w:rPr>
          <w:rFonts w:ascii="Arial" w:hAnsi="Arial" w:cs="Arial"/>
          <w:b/>
          <w:sz w:val="22"/>
          <w:szCs w:val="22"/>
        </w:rPr>
        <w:t>VaVaI</w:t>
      </w:r>
      <w:proofErr w:type="spellEnd"/>
      <w:r w:rsidR="003B5664" w:rsidRPr="00FD5929">
        <w:rPr>
          <w:rFonts w:ascii="Arial" w:hAnsi="Arial" w:cs="Arial"/>
          <w:b/>
          <w:sz w:val="22"/>
          <w:szCs w:val="22"/>
        </w:rPr>
        <w:t xml:space="preserve"> v ČR z prostředků evropských fondů</w:t>
      </w:r>
      <w:r w:rsidR="000625CB" w:rsidRPr="00FD5929">
        <w:rPr>
          <w:rFonts w:ascii="Arial" w:hAnsi="Arial" w:cs="Arial"/>
          <w:b/>
          <w:sz w:val="22"/>
          <w:szCs w:val="22"/>
        </w:rPr>
        <w:t xml:space="preserve"> ukazuje zcela odlišný systém řízení financování z národních a evropských zdrojů a to jak z ESI fondů tak dalších rámcových programů EU (např. </w:t>
      </w:r>
      <w:proofErr w:type="spellStart"/>
      <w:r w:rsidR="000625CB" w:rsidRPr="00FD5929">
        <w:rPr>
          <w:rFonts w:ascii="Arial" w:hAnsi="Arial" w:cs="Arial"/>
          <w:b/>
          <w:sz w:val="22"/>
          <w:szCs w:val="22"/>
        </w:rPr>
        <w:t>Horizon</w:t>
      </w:r>
      <w:proofErr w:type="spellEnd"/>
      <w:r w:rsidR="000625CB" w:rsidRPr="00FD5929">
        <w:rPr>
          <w:rFonts w:ascii="Arial" w:hAnsi="Arial" w:cs="Arial"/>
          <w:b/>
          <w:sz w:val="22"/>
          <w:szCs w:val="22"/>
        </w:rPr>
        <w:t xml:space="preserve"> 2020). Kapitola </w:t>
      </w:r>
      <w:r w:rsidR="000625CB" w:rsidRPr="00FD5929">
        <w:rPr>
          <w:rFonts w:ascii="Arial" w:hAnsi="Arial" w:cs="Arial"/>
          <w:sz w:val="22"/>
          <w:szCs w:val="22"/>
        </w:rPr>
        <w:t xml:space="preserve">popisuje dopad prostředků EU </w:t>
      </w:r>
      <w:r w:rsidR="00FB7EFD" w:rsidRPr="00FD5929">
        <w:rPr>
          <w:rFonts w:ascii="Arial" w:hAnsi="Arial" w:cs="Arial"/>
          <w:sz w:val="22"/>
          <w:szCs w:val="22"/>
        </w:rPr>
        <w:t xml:space="preserve">směřujících do </w:t>
      </w:r>
      <w:proofErr w:type="spellStart"/>
      <w:r w:rsidR="00FB7EFD" w:rsidRPr="00FD5929">
        <w:rPr>
          <w:rFonts w:ascii="Arial" w:hAnsi="Arial" w:cs="Arial"/>
          <w:sz w:val="22"/>
          <w:szCs w:val="22"/>
        </w:rPr>
        <w:t>VaVaI</w:t>
      </w:r>
      <w:proofErr w:type="spellEnd"/>
      <w:r w:rsidR="00FB7EFD" w:rsidRPr="00FD5929">
        <w:rPr>
          <w:rFonts w:ascii="Arial" w:hAnsi="Arial" w:cs="Arial"/>
          <w:sz w:val="22"/>
          <w:szCs w:val="22"/>
        </w:rPr>
        <w:t xml:space="preserve"> a</w:t>
      </w:r>
      <w:r w:rsidRPr="00FD5929">
        <w:rPr>
          <w:rFonts w:ascii="Arial" w:hAnsi="Arial" w:cs="Arial"/>
          <w:sz w:val="22"/>
          <w:szCs w:val="22"/>
        </w:rPr>
        <w:t xml:space="preserve"> na tematické i alokační srovnání mezi dvěma na sebe navazujícími programov</w:t>
      </w:r>
      <w:r w:rsidR="00E0562F" w:rsidRPr="00FD5929">
        <w:rPr>
          <w:rFonts w:ascii="Arial" w:hAnsi="Arial" w:cs="Arial"/>
          <w:sz w:val="22"/>
          <w:szCs w:val="22"/>
        </w:rPr>
        <w:t>ými</w:t>
      </w:r>
      <w:r w:rsidRPr="00FD5929">
        <w:rPr>
          <w:rFonts w:ascii="Arial" w:hAnsi="Arial" w:cs="Arial"/>
          <w:sz w:val="22"/>
          <w:szCs w:val="22"/>
        </w:rPr>
        <w:t xml:space="preserve"> obdobími.</w:t>
      </w:r>
      <w:r w:rsidR="00BD6325" w:rsidRPr="00FD5929">
        <w:rPr>
          <w:rFonts w:ascii="Arial" w:hAnsi="Arial" w:cs="Arial"/>
          <w:sz w:val="22"/>
          <w:szCs w:val="22"/>
        </w:rPr>
        <w:t xml:space="preserve"> </w:t>
      </w:r>
    </w:p>
    <w:p w:rsidR="002A4EA5" w:rsidRDefault="00BD6325" w:rsidP="009B0875">
      <w:pPr>
        <w:pStyle w:val="Odstavecseseznamem"/>
        <w:spacing w:after="120"/>
        <w:ind w:left="0"/>
        <w:jc w:val="both"/>
        <w:rPr>
          <w:rFonts w:ascii="Arial" w:hAnsi="Arial" w:cs="Arial"/>
          <w:sz w:val="22"/>
          <w:szCs w:val="22"/>
        </w:rPr>
      </w:pPr>
      <w:r w:rsidRPr="00FD5929">
        <w:rPr>
          <w:rFonts w:ascii="Arial" w:hAnsi="Arial" w:cs="Arial"/>
          <w:sz w:val="22"/>
          <w:szCs w:val="22"/>
        </w:rPr>
        <w:t>Obsahuje především:</w:t>
      </w:r>
    </w:p>
    <w:p w:rsidR="009B0875" w:rsidRPr="00FD5929" w:rsidRDefault="009B0875" w:rsidP="009B0875">
      <w:pPr>
        <w:pStyle w:val="Odstavecseseznamem"/>
        <w:spacing w:after="120"/>
        <w:ind w:left="0"/>
        <w:jc w:val="both"/>
        <w:rPr>
          <w:rFonts w:ascii="Arial" w:hAnsi="Arial" w:cs="Arial"/>
          <w:sz w:val="22"/>
          <w:szCs w:val="22"/>
        </w:rPr>
      </w:pPr>
    </w:p>
    <w:p w:rsidR="00BD6325" w:rsidRDefault="00FB3397" w:rsidP="00FB3397">
      <w:pPr>
        <w:pStyle w:val="Odstavecseseznamem"/>
        <w:numPr>
          <w:ilvl w:val="0"/>
          <w:numId w:val="4"/>
        </w:numPr>
        <w:spacing w:after="120"/>
        <w:jc w:val="both"/>
        <w:rPr>
          <w:rFonts w:ascii="Arial" w:hAnsi="Arial" w:cs="Arial"/>
          <w:sz w:val="22"/>
          <w:szCs w:val="22"/>
        </w:rPr>
      </w:pPr>
      <w:r w:rsidRPr="00FD5929">
        <w:rPr>
          <w:rFonts w:ascii="Arial" w:hAnsi="Arial" w:cs="Arial"/>
          <w:sz w:val="22"/>
          <w:szCs w:val="22"/>
        </w:rPr>
        <w:t>Dynamiku zahraničních výdajů (veřejných soukromých) v období 2007 – 2013.</w:t>
      </w:r>
    </w:p>
    <w:p w:rsidR="009B0875" w:rsidRPr="009B0875" w:rsidRDefault="009B0875" w:rsidP="009B0875">
      <w:pPr>
        <w:pStyle w:val="Odstavecseseznamem"/>
        <w:spacing w:after="120"/>
        <w:jc w:val="both"/>
        <w:rPr>
          <w:rFonts w:ascii="Arial" w:hAnsi="Arial" w:cs="Arial"/>
          <w:sz w:val="16"/>
          <w:szCs w:val="16"/>
        </w:rPr>
      </w:pPr>
    </w:p>
    <w:p w:rsidR="00FB3397" w:rsidRDefault="00FB3397" w:rsidP="00FB3397">
      <w:pPr>
        <w:pStyle w:val="Odstavecseseznamem"/>
        <w:numPr>
          <w:ilvl w:val="0"/>
          <w:numId w:val="4"/>
        </w:numPr>
        <w:spacing w:after="120"/>
        <w:jc w:val="both"/>
        <w:rPr>
          <w:rFonts w:ascii="Arial" w:hAnsi="Arial" w:cs="Arial"/>
          <w:sz w:val="22"/>
          <w:szCs w:val="22"/>
        </w:rPr>
      </w:pPr>
      <w:r w:rsidRPr="00FD5929">
        <w:rPr>
          <w:rFonts w:ascii="Arial" w:hAnsi="Arial" w:cs="Arial"/>
          <w:sz w:val="22"/>
          <w:szCs w:val="22"/>
        </w:rPr>
        <w:t>Čerpání prostředků z Operačních programů Výzkum a vývoj pro inovace</w:t>
      </w:r>
      <w:r w:rsidR="00801845" w:rsidRPr="00FD5929">
        <w:rPr>
          <w:rFonts w:ascii="Arial" w:hAnsi="Arial" w:cs="Arial"/>
          <w:sz w:val="22"/>
          <w:szCs w:val="22"/>
        </w:rPr>
        <w:t xml:space="preserve"> (OP </w:t>
      </w:r>
      <w:proofErr w:type="spellStart"/>
      <w:r w:rsidR="00801845" w:rsidRPr="00FD5929">
        <w:rPr>
          <w:rFonts w:ascii="Arial" w:hAnsi="Arial" w:cs="Arial"/>
          <w:sz w:val="22"/>
          <w:szCs w:val="22"/>
        </w:rPr>
        <w:t>VaVpI</w:t>
      </w:r>
      <w:proofErr w:type="spellEnd"/>
      <w:r w:rsidR="00565CA0" w:rsidRPr="00FD5929">
        <w:rPr>
          <w:rFonts w:ascii="Arial" w:hAnsi="Arial" w:cs="Arial"/>
          <w:sz w:val="22"/>
          <w:szCs w:val="22"/>
        </w:rPr>
        <w:t>)</w:t>
      </w:r>
      <w:r w:rsidRPr="00FD5929">
        <w:rPr>
          <w:rFonts w:ascii="Arial" w:hAnsi="Arial" w:cs="Arial"/>
          <w:sz w:val="22"/>
          <w:szCs w:val="22"/>
        </w:rPr>
        <w:t>, Vzdělávání a konkurenceschopnost</w:t>
      </w:r>
      <w:r w:rsidR="00565CA0" w:rsidRPr="00FD5929">
        <w:rPr>
          <w:rFonts w:ascii="Arial" w:hAnsi="Arial" w:cs="Arial"/>
          <w:sz w:val="22"/>
          <w:szCs w:val="22"/>
        </w:rPr>
        <w:t xml:space="preserve"> (OP VK)</w:t>
      </w:r>
      <w:r w:rsidRPr="00FD5929">
        <w:rPr>
          <w:rFonts w:ascii="Arial" w:hAnsi="Arial" w:cs="Arial"/>
          <w:sz w:val="22"/>
          <w:szCs w:val="22"/>
        </w:rPr>
        <w:t>, Podnikání a inovace</w:t>
      </w:r>
      <w:r w:rsidR="00565CA0" w:rsidRPr="00FD5929">
        <w:rPr>
          <w:rFonts w:ascii="Arial" w:hAnsi="Arial" w:cs="Arial"/>
          <w:sz w:val="22"/>
          <w:szCs w:val="22"/>
        </w:rPr>
        <w:t xml:space="preserve"> (OP PI)</w:t>
      </w:r>
      <w:r w:rsidRPr="00FD5929">
        <w:rPr>
          <w:rFonts w:ascii="Arial" w:hAnsi="Arial" w:cs="Arial"/>
          <w:sz w:val="22"/>
          <w:szCs w:val="22"/>
        </w:rPr>
        <w:t>, Praha – konkurenceschopnost</w:t>
      </w:r>
      <w:r w:rsidR="00565CA0" w:rsidRPr="00FD5929">
        <w:rPr>
          <w:rFonts w:ascii="Arial" w:hAnsi="Arial" w:cs="Arial"/>
          <w:sz w:val="22"/>
          <w:szCs w:val="22"/>
        </w:rPr>
        <w:t xml:space="preserve"> (OP PK)</w:t>
      </w:r>
      <w:r w:rsidRPr="00FD5929">
        <w:rPr>
          <w:rFonts w:ascii="Arial" w:hAnsi="Arial" w:cs="Arial"/>
          <w:sz w:val="22"/>
          <w:szCs w:val="22"/>
        </w:rPr>
        <w:t xml:space="preserve"> a Praha </w:t>
      </w:r>
      <w:r w:rsidR="00565CA0" w:rsidRPr="00FD5929">
        <w:rPr>
          <w:rFonts w:ascii="Arial" w:hAnsi="Arial" w:cs="Arial"/>
          <w:sz w:val="22"/>
          <w:szCs w:val="22"/>
        </w:rPr>
        <w:t>–</w:t>
      </w:r>
      <w:r w:rsidRPr="00FD5929">
        <w:rPr>
          <w:rFonts w:ascii="Arial" w:hAnsi="Arial" w:cs="Arial"/>
          <w:sz w:val="22"/>
          <w:szCs w:val="22"/>
        </w:rPr>
        <w:t xml:space="preserve"> adaptabilita</w:t>
      </w:r>
      <w:r w:rsidR="00565CA0" w:rsidRPr="00FD5929">
        <w:rPr>
          <w:rFonts w:ascii="Arial" w:hAnsi="Arial" w:cs="Arial"/>
          <w:sz w:val="22"/>
          <w:szCs w:val="22"/>
        </w:rPr>
        <w:t xml:space="preserve"> (OP PA)</w:t>
      </w:r>
      <w:r w:rsidRPr="00FD5929">
        <w:rPr>
          <w:rFonts w:ascii="Arial" w:hAnsi="Arial" w:cs="Arial"/>
          <w:sz w:val="22"/>
          <w:szCs w:val="22"/>
        </w:rPr>
        <w:t xml:space="preserve"> v členění dle specifických cílů ve vazbě na národní cíle </w:t>
      </w:r>
      <w:proofErr w:type="spellStart"/>
      <w:r w:rsidRPr="00FD5929">
        <w:rPr>
          <w:rFonts w:ascii="Arial" w:hAnsi="Arial" w:cs="Arial"/>
          <w:sz w:val="22"/>
          <w:szCs w:val="22"/>
        </w:rPr>
        <w:t>VaVaI</w:t>
      </w:r>
      <w:proofErr w:type="spellEnd"/>
      <w:r w:rsidRPr="00FD5929">
        <w:rPr>
          <w:rFonts w:ascii="Arial" w:hAnsi="Arial" w:cs="Arial"/>
          <w:sz w:val="22"/>
          <w:szCs w:val="22"/>
        </w:rPr>
        <w:t>.</w:t>
      </w:r>
    </w:p>
    <w:p w:rsidR="009B0875" w:rsidRPr="009B0875" w:rsidRDefault="009B0875" w:rsidP="009B0875">
      <w:pPr>
        <w:pStyle w:val="Odstavecseseznamem"/>
        <w:rPr>
          <w:rFonts w:ascii="Arial" w:hAnsi="Arial" w:cs="Arial"/>
          <w:sz w:val="16"/>
          <w:szCs w:val="16"/>
        </w:rPr>
      </w:pPr>
    </w:p>
    <w:p w:rsidR="00FB3397" w:rsidRDefault="00FB3397" w:rsidP="00FB3397">
      <w:pPr>
        <w:pStyle w:val="Odstavecseseznamem"/>
        <w:numPr>
          <w:ilvl w:val="0"/>
          <w:numId w:val="4"/>
        </w:numPr>
        <w:spacing w:after="120"/>
        <w:jc w:val="both"/>
        <w:rPr>
          <w:rFonts w:ascii="Arial" w:hAnsi="Arial" w:cs="Arial"/>
          <w:sz w:val="22"/>
          <w:szCs w:val="22"/>
        </w:rPr>
      </w:pPr>
      <w:r w:rsidRPr="00FD5929">
        <w:rPr>
          <w:rFonts w:ascii="Arial" w:hAnsi="Arial" w:cs="Arial"/>
          <w:sz w:val="22"/>
          <w:szCs w:val="22"/>
        </w:rPr>
        <w:lastRenderedPageBreak/>
        <w:t>Indikativní finanční alokace Operačních programů Výzkum, vývoj a vzdělávání</w:t>
      </w:r>
      <w:r w:rsidR="00801845" w:rsidRPr="00FD5929">
        <w:rPr>
          <w:rFonts w:ascii="Arial" w:hAnsi="Arial" w:cs="Arial"/>
          <w:sz w:val="22"/>
          <w:szCs w:val="22"/>
        </w:rPr>
        <w:t xml:space="preserve"> (OP</w:t>
      </w:r>
      <w:r w:rsidR="000F58D1">
        <w:rPr>
          <w:rFonts w:ascii="Arial" w:hAnsi="Arial" w:cs="Arial"/>
          <w:sz w:val="22"/>
          <w:szCs w:val="22"/>
        </w:rPr>
        <w:t> </w:t>
      </w:r>
      <w:r w:rsidR="00801845" w:rsidRPr="00FD5929">
        <w:rPr>
          <w:rFonts w:ascii="Arial" w:hAnsi="Arial" w:cs="Arial"/>
          <w:sz w:val="22"/>
          <w:szCs w:val="22"/>
        </w:rPr>
        <w:t>VVV)</w:t>
      </w:r>
      <w:r w:rsidRPr="00FD5929">
        <w:rPr>
          <w:rFonts w:ascii="Arial" w:hAnsi="Arial" w:cs="Arial"/>
          <w:sz w:val="22"/>
          <w:szCs w:val="22"/>
        </w:rPr>
        <w:t>, Podnikání a inovace pro konkurenceschopnost</w:t>
      </w:r>
      <w:r w:rsidR="00801845" w:rsidRPr="00FD5929">
        <w:rPr>
          <w:rFonts w:ascii="Arial" w:hAnsi="Arial" w:cs="Arial"/>
          <w:sz w:val="22"/>
          <w:szCs w:val="22"/>
        </w:rPr>
        <w:t xml:space="preserve"> (OP PIK)</w:t>
      </w:r>
      <w:r w:rsidRPr="00FD5929">
        <w:rPr>
          <w:rFonts w:ascii="Arial" w:hAnsi="Arial" w:cs="Arial"/>
          <w:sz w:val="22"/>
          <w:szCs w:val="22"/>
        </w:rPr>
        <w:t xml:space="preserve"> a Praha - pól růstu ČR</w:t>
      </w:r>
      <w:r w:rsidR="00801845" w:rsidRPr="00FD5929">
        <w:rPr>
          <w:rFonts w:ascii="Arial" w:hAnsi="Arial" w:cs="Arial"/>
          <w:sz w:val="22"/>
          <w:szCs w:val="22"/>
        </w:rPr>
        <w:t xml:space="preserve"> (OP PPR)</w:t>
      </w:r>
      <w:r w:rsidRPr="00FD5929">
        <w:rPr>
          <w:rFonts w:ascii="Arial" w:hAnsi="Arial" w:cs="Arial"/>
          <w:sz w:val="22"/>
          <w:szCs w:val="22"/>
        </w:rPr>
        <w:t xml:space="preserve"> na programové období 2014 </w:t>
      </w:r>
      <w:r w:rsidR="00801845" w:rsidRPr="00FD5929">
        <w:rPr>
          <w:rFonts w:ascii="Arial" w:hAnsi="Arial" w:cs="Arial"/>
          <w:sz w:val="22"/>
          <w:szCs w:val="22"/>
        </w:rPr>
        <w:t>–</w:t>
      </w:r>
      <w:r w:rsidRPr="00FD5929">
        <w:rPr>
          <w:rFonts w:ascii="Arial" w:hAnsi="Arial" w:cs="Arial"/>
          <w:sz w:val="22"/>
          <w:szCs w:val="22"/>
        </w:rPr>
        <w:t xml:space="preserve"> 2020</w:t>
      </w:r>
      <w:r w:rsidR="00801845" w:rsidRPr="00FD5929">
        <w:rPr>
          <w:rFonts w:ascii="Arial" w:hAnsi="Arial" w:cs="Arial"/>
          <w:sz w:val="22"/>
          <w:szCs w:val="22"/>
        </w:rPr>
        <w:t>.</w:t>
      </w:r>
    </w:p>
    <w:p w:rsidR="009B0875" w:rsidRPr="009B0875" w:rsidRDefault="009B0875" w:rsidP="009B0875">
      <w:pPr>
        <w:pStyle w:val="Odstavecseseznamem"/>
        <w:rPr>
          <w:rFonts w:ascii="Arial" w:hAnsi="Arial" w:cs="Arial"/>
          <w:sz w:val="16"/>
          <w:szCs w:val="16"/>
        </w:rPr>
      </w:pPr>
    </w:p>
    <w:p w:rsidR="00FB3397" w:rsidRDefault="00FB3397" w:rsidP="00FB3397">
      <w:pPr>
        <w:pStyle w:val="Odstavecseseznamem"/>
        <w:numPr>
          <w:ilvl w:val="0"/>
          <w:numId w:val="4"/>
        </w:numPr>
        <w:spacing w:after="120"/>
        <w:jc w:val="both"/>
        <w:rPr>
          <w:rFonts w:ascii="Arial" w:hAnsi="Arial" w:cs="Arial"/>
          <w:sz w:val="22"/>
          <w:szCs w:val="22"/>
        </w:rPr>
      </w:pPr>
      <w:r w:rsidRPr="00FD5929">
        <w:rPr>
          <w:rFonts w:ascii="Arial" w:hAnsi="Arial" w:cs="Arial"/>
          <w:sz w:val="22"/>
          <w:szCs w:val="22"/>
        </w:rPr>
        <w:t xml:space="preserve">Stav čerpání Operačních programů s vazbou na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v programovém období 2007 </w:t>
      </w:r>
      <w:r w:rsidR="00801845" w:rsidRPr="00FD5929">
        <w:rPr>
          <w:rFonts w:ascii="Arial" w:hAnsi="Arial" w:cs="Arial"/>
          <w:sz w:val="22"/>
          <w:szCs w:val="22"/>
        </w:rPr>
        <w:t>–</w:t>
      </w:r>
      <w:r w:rsidRPr="00FD5929">
        <w:rPr>
          <w:rFonts w:ascii="Arial" w:hAnsi="Arial" w:cs="Arial"/>
          <w:sz w:val="22"/>
          <w:szCs w:val="22"/>
        </w:rPr>
        <w:t xml:space="preserve"> 2013</w:t>
      </w:r>
      <w:r w:rsidR="00801845" w:rsidRPr="00FD5929">
        <w:rPr>
          <w:rFonts w:ascii="Arial" w:hAnsi="Arial" w:cs="Arial"/>
          <w:sz w:val="22"/>
          <w:szCs w:val="22"/>
        </w:rPr>
        <w:t>.</w:t>
      </w:r>
    </w:p>
    <w:p w:rsidR="009B0875" w:rsidRPr="009B0875" w:rsidRDefault="009B0875" w:rsidP="009B0875">
      <w:pPr>
        <w:pStyle w:val="Odstavecseseznamem"/>
        <w:rPr>
          <w:rFonts w:ascii="Arial" w:hAnsi="Arial" w:cs="Arial"/>
          <w:sz w:val="16"/>
          <w:szCs w:val="16"/>
        </w:rPr>
      </w:pPr>
    </w:p>
    <w:p w:rsidR="00801845" w:rsidRPr="00FD5929" w:rsidRDefault="00801845" w:rsidP="00FB3397">
      <w:pPr>
        <w:pStyle w:val="Odstavecseseznamem"/>
        <w:numPr>
          <w:ilvl w:val="0"/>
          <w:numId w:val="4"/>
        </w:numPr>
        <w:spacing w:after="120"/>
        <w:jc w:val="both"/>
        <w:rPr>
          <w:rFonts w:ascii="Arial" w:hAnsi="Arial" w:cs="Arial"/>
          <w:sz w:val="22"/>
          <w:szCs w:val="22"/>
        </w:rPr>
      </w:pPr>
      <w:r w:rsidRPr="00FD5929">
        <w:rPr>
          <w:rFonts w:ascii="Arial" w:hAnsi="Arial" w:cs="Arial"/>
          <w:sz w:val="22"/>
          <w:szCs w:val="22"/>
        </w:rPr>
        <w:t>Informaci o cílech a stavu přípravy strategie inteligentní specializace (RIS 3).</w:t>
      </w:r>
    </w:p>
    <w:p w:rsidR="000625CB" w:rsidRPr="00FD5929" w:rsidRDefault="000625CB" w:rsidP="000625CB">
      <w:pPr>
        <w:pStyle w:val="Odstavecseseznamem"/>
        <w:spacing w:after="120"/>
        <w:jc w:val="both"/>
        <w:rPr>
          <w:rFonts w:ascii="Arial" w:hAnsi="Arial" w:cs="Arial"/>
          <w:sz w:val="22"/>
          <w:szCs w:val="22"/>
        </w:rPr>
      </w:pPr>
    </w:p>
    <w:p w:rsidR="00742E0C" w:rsidRPr="00FD5929" w:rsidRDefault="00E83996" w:rsidP="009B0875">
      <w:pPr>
        <w:pStyle w:val="Odstavecseseznamem"/>
        <w:spacing w:after="120"/>
        <w:ind w:left="0"/>
        <w:jc w:val="both"/>
        <w:rPr>
          <w:rFonts w:ascii="Arial" w:hAnsi="Arial" w:cs="Arial"/>
          <w:b/>
          <w:sz w:val="22"/>
          <w:szCs w:val="22"/>
        </w:rPr>
      </w:pPr>
      <w:r w:rsidRPr="00FD5929">
        <w:rPr>
          <w:rFonts w:ascii="Arial" w:hAnsi="Arial" w:cs="Arial"/>
          <w:b/>
          <w:sz w:val="22"/>
          <w:szCs w:val="22"/>
        </w:rPr>
        <w:t xml:space="preserve">Kapitola Lidské zdroje ve </w:t>
      </w:r>
      <w:proofErr w:type="spellStart"/>
      <w:r w:rsidRPr="00FD5929">
        <w:rPr>
          <w:rFonts w:ascii="Arial" w:hAnsi="Arial" w:cs="Arial"/>
          <w:b/>
          <w:sz w:val="22"/>
          <w:szCs w:val="22"/>
        </w:rPr>
        <w:t>VaVaI</w:t>
      </w:r>
      <w:proofErr w:type="spellEnd"/>
      <w:r w:rsidR="00742E0C" w:rsidRPr="00FD5929">
        <w:rPr>
          <w:rFonts w:ascii="Arial" w:hAnsi="Arial" w:cs="Arial"/>
          <w:b/>
          <w:sz w:val="22"/>
          <w:szCs w:val="22"/>
        </w:rPr>
        <w:t xml:space="preserve"> je úvodní analýzou možností pro periodické vyhodnocování lidských zdrojů v systému </w:t>
      </w:r>
      <w:proofErr w:type="spellStart"/>
      <w:r w:rsidR="00742E0C" w:rsidRPr="00FD5929">
        <w:rPr>
          <w:rFonts w:ascii="Arial" w:hAnsi="Arial" w:cs="Arial"/>
          <w:b/>
          <w:sz w:val="22"/>
          <w:szCs w:val="22"/>
        </w:rPr>
        <w:t>VaVaI</w:t>
      </w:r>
      <w:proofErr w:type="spellEnd"/>
      <w:r w:rsidR="00742E0C" w:rsidRPr="00FD5929">
        <w:rPr>
          <w:rFonts w:ascii="Arial" w:hAnsi="Arial" w:cs="Arial"/>
          <w:b/>
          <w:sz w:val="22"/>
          <w:szCs w:val="22"/>
        </w:rPr>
        <w:t xml:space="preserve"> jako významného aktiva systému. </w:t>
      </w:r>
    </w:p>
    <w:p w:rsidR="00E83996" w:rsidRPr="00FD5929" w:rsidRDefault="00E83996" w:rsidP="009B0875">
      <w:pPr>
        <w:pStyle w:val="Odstavecseseznamem"/>
        <w:spacing w:after="120"/>
        <w:ind w:left="0"/>
        <w:jc w:val="both"/>
        <w:rPr>
          <w:rFonts w:ascii="Arial" w:hAnsi="Arial" w:cs="Arial"/>
          <w:sz w:val="22"/>
          <w:szCs w:val="22"/>
        </w:rPr>
      </w:pPr>
      <w:r w:rsidRPr="00FD5929">
        <w:rPr>
          <w:rFonts w:ascii="Arial" w:hAnsi="Arial" w:cs="Arial"/>
          <w:sz w:val="22"/>
          <w:szCs w:val="22"/>
        </w:rPr>
        <w:t xml:space="preserve">Vzhledem k tomu, že lidské zdroje jsou velmi podrobně komentovány ve statistické ročence ČSÚ, </w:t>
      </w:r>
      <w:r w:rsidR="001E1F03">
        <w:rPr>
          <w:rFonts w:ascii="Arial" w:hAnsi="Arial" w:cs="Arial"/>
          <w:sz w:val="22"/>
          <w:szCs w:val="22"/>
        </w:rPr>
        <w:t>jsou</w:t>
      </w:r>
      <w:r w:rsidRPr="00FD5929">
        <w:rPr>
          <w:rFonts w:ascii="Arial" w:hAnsi="Arial" w:cs="Arial"/>
          <w:sz w:val="22"/>
          <w:szCs w:val="22"/>
        </w:rPr>
        <w:t xml:space="preserve"> v Analýze prezentovány pouze klíčové indikátory a jejich mezinárodní srovnání.</w:t>
      </w:r>
      <w:r w:rsidR="00742E0C" w:rsidRPr="00FD5929">
        <w:rPr>
          <w:rFonts w:ascii="Arial" w:hAnsi="Arial" w:cs="Arial"/>
          <w:sz w:val="22"/>
          <w:szCs w:val="22"/>
        </w:rPr>
        <w:t xml:space="preserve"> </w:t>
      </w:r>
    </w:p>
    <w:p w:rsidR="009B0875" w:rsidRDefault="009B0875" w:rsidP="009B0875">
      <w:pPr>
        <w:pStyle w:val="Odstavecseseznamem"/>
        <w:spacing w:after="120"/>
        <w:ind w:left="0"/>
        <w:jc w:val="both"/>
        <w:rPr>
          <w:rFonts w:ascii="Arial" w:hAnsi="Arial" w:cs="Arial"/>
          <w:b/>
          <w:sz w:val="22"/>
          <w:szCs w:val="22"/>
        </w:rPr>
      </w:pPr>
    </w:p>
    <w:p w:rsidR="00E83996" w:rsidRPr="00FD5929" w:rsidRDefault="00B96345" w:rsidP="009B0875">
      <w:pPr>
        <w:pStyle w:val="Odstavecseseznamem"/>
        <w:spacing w:after="120"/>
        <w:ind w:left="0"/>
        <w:jc w:val="both"/>
        <w:rPr>
          <w:rFonts w:ascii="Arial" w:hAnsi="Arial" w:cs="Arial"/>
          <w:sz w:val="22"/>
          <w:szCs w:val="22"/>
        </w:rPr>
      </w:pPr>
      <w:r w:rsidRPr="00FD5929">
        <w:rPr>
          <w:rFonts w:ascii="Arial" w:hAnsi="Arial" w:cs="Arial"/>
          <w:b/>
          <w:sz w:val="22"/>
          <w:szCs w:val="22"/>
        </w:rPr>
        <w:t xml:space="preserve">Kapitola Infrastruktury </w:t>
      </w:r>
      <w:proofErr w:type="spellStart"/>
      <w:r w:rsidRPr="00FD5929">
        <w:rPr>
          <w:rFonts w:ascii="Arial" w:hAnsi="Arial" w:cs="Arial"/>
          <w:b/>
          <w:sz w:val="22"/>
          <w:szCs w:val="22"/>
        </w:rPr>
        <w:t>VaVaI</w:t>
      </w:r>
      <w:proofErr w:type="spellEnd"/>
      <w:r w:rsidR="001F4B04">
        <w:rPr>
          <w:rFonts w:ascii="Arial" w:hAnsi="Arial" w:cs="Arial"/>
          <w:sz w:val="22"/>
          <w:szCs w:val="22"/>
        </w:rPr>
        <w:t>:</w:t>
      </w:r>
    </w:p>
    <w:p w:rsidR="00FD5929" w:rsidRDefault="00FD5929" w:rsidP="00FD5929">
      <w:pPr>
        <w:pStyle w:val="Odstavecseseznamem"/>
        <w:spacing w:after="120"/>
        <w:jc w:val="both"/>
        <w:rPr>
          <w:rFonts w:ascii="Arial" w:hAnsi="Arial" w:cs="Arial"/>
          <w:sz w:val="22"/>
          <w:szCs w:val="22"/>
        </w:rPr>
      </w:pPr>
    </w:p>
    <w:p w:rsidR="00FD5929" w:rsidRDefault="00FD5929" w:rsidP="00801845">
      <w:pPr>
        <w:pStyle w:val="Odstavecseseznamem"/>
        <w:numPr>
          <w:ilvl w:val="0"/>
          <w:numId w:val="5"/>
        </w:numPr>
        <w:spacing w:after="120"/>
        <w:jc w:val="both"/>
        <w:rPr>
          <w:rFonts w:ascii="Arial" w:hAnsi="Arial" w:cs="Arial"/>
          <w:sz w:val="22"/>
          <w:szCs w:val="22"/>
        </w:rPr>
      </w:pPr>
      <w:r>
        <w:rPr>
          <w:rFonts w:ascii="Arial" w:hAnsi="Arial" w:cs="Arial"/>
          <w:sz w:val="22"/>
          <w:szCs w:val="22"/>
        </w:rPr>
        <w:t>C</w:t>
      </w:r>
      <w:r w:rsidRPr="00FD5929">
        <w:rPr>
          <w:rFonts w:ascii="Arial" w:hAnsi="Arial" w:cs="Arial"/>
          <w:sz w:val="22"/>
          <w:szCs w:val="22"/>
        </w:rPr>
        <w:t xml:space="preserve">harakterizuje vícezdrojové financování infrastruktur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sumarizuje v minulosti vynaložené finanční prostředky na podporu infrastruktur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a nastiňuje základní principy jejich podpory v budoucnu.</w:t>
      </w:r>
    </w:p>
    <w:p w:rsidR="009B0875" w:rsidRPr="009B0875" w:rsidRDefault="009B0875" w:rsidP="009B0875">
      <w:pPr>
        <w:pStyle w:val="Odstavecseseznamem"/>
        <w:spacing w:after="120"/>
        <w:jc w:val="both"/>
        <w:rPr>
          <w:rFonts w:ascii="Arial" w:hAnsi="Arial" w:cs="Arial"/>
          <w:sz w:val="16"/>
          <w:szCs w:val="16"/>
        </w:rPr>
      </w:pPr>
    </w:p>
    <w:p w:rsidR="00801845" w:rsidRDefault="00FD5929" w:rsidP="00801845">
      <w:pPr>
        <w:pStyle w:val="Odstavecseseznamem"/>
        <w:numPr>
          <w:ilvl w:val="0"/>
          <w:numId w:val="5"/>
        </w:numPr>
        <w:spacing w:after="120"/>
        <w:jc w:val="both"/>
        <w:rPr>
          <w:rFonts w:ascii="Arial" w:hAnsi="Arial" w:cs="Arial"/>
          <w:sz w:val="22"/>
          <w:szCs w:val="22"/>
        </w:rPr>
      </w:pPr>
      <w:r>
        <w:rPr>
          <w:rFonts w:ascii="Arial" w:hAnsi="Arial" w:cs="Arial"/>
          <w:sz w:val="22"/>
          <w:szCs w:val="22"/>
        </w:rPr>
        <w:t xml:space="preserve">Popisuje </w:t>
      </w:r>
      <w:r w:rsidR="00801845" w:rsidRPr="00FD5929">
        <w:rPr>
          <w:rFonts w:ascii="Arial" w:hAnsi="Arial" w:cs="Arial"/>
          <w:sz w:val="22"/>
          <w:szCs w:val="22"/>
        </w:rPr>
        <w:t>Různé přístupy k</w:t>
      </w:r>
      <w:r w:rsidR="00565CA0" w:rsidRPr="00FD5929">
        <w:rPr>
          <w:rFonts w:ascii="Arial" w:hAnsi="Arial" w:cs="Arial"/>
          <w:sz w:val="22"/>
          <w:szCs w:val="22"/>
        </w:rPr>
        <w:t> </w:t>
      </w:r>
      <w:r w:rsidR="00801845" w:rsidRPr="00FD5929">
        <w:rPr>
          <w:rFonts w:ascii="Arial" w:hAnsi="Arial" w:cs="Arial"/>
          <w:sz w:val="22"/>
          <w:szCs w:val="22"/>
        </w:rPr>
        <w:t>tomu</w:t>
      </w:r>
      <w:r w:rsidR="00565CA0" w:rsidRPr="00FD5929">
        <w:rPr>
          <w:rFonts w:ascii="Arial" w:hAnsi="Arial" w:cs="Arial"/>
          <w:sz w:val="22"/>
          <w:szCs w:val="22"/>
        </w:rPr>
        <w:t>,</w:t>
      </w:r>
      <w:r w:rsidR="00801845" w:rsidRPr="00FD5929">
        <w:rPr>
          <w:rFonts w:ascii="Arial" w:hAnsi="Arial" w:cs="Arial"/>
          <w:sz w:val="22"/>
          <w:szCs w:val="22"/>
        </w:rPr>
        <w:t xml:space="preserve"> co je a co není infrastruktura </w:t>
      </w:r>
      <w:proofErr w:type="spellStart"/>
      <w:r w:rsidR="00801845" w:rsidRPr="00FD5929">
        <w:rPr>
          <w:rFonts w:ascii="Arial" w:hAnsi="Arial" w:cs="Arial"/>
          <w:sz w:val="22"/>
          <w:szCs w:val="22"/>
        </w:rPr>
        <w:t>VaVaI</w:t>
      </w:r>
      <w:proofErr w:type="spellEnd"/>
      <w:r w:rsidR="00565CA0" w:rsidRPr="00FD5929">
        <w:rPr>
          <w:rFonts w:ascii="Arial" w:hAnsi="Arial" w:cs="Arial"/>
          <w:sz w:val="22"/>
          <w:szCs w:val="22"/>
        </w:rPr>
        <w:t>.</w:t>
      </w:r>
    </w:p>
    <w:p w:rsidR="009B0875" w:rsidRPr="009B0875" w:rsidRDefault="009B0875" w:rsidP="009B0875">
      <w:pPr>
        <w:pStyle w:val="Odstavecseseznamem"/>
        <w:rPr>
          <w:rFonts w:ascii="Arial" w:hAnsi="Arial" w:cs="Arial"/>
          <w:sz w:val="16"/>
          <w:szCs w:val="16"/>
        </w:rPr>
      </w:pPr>
    </w:p>
    <w:p w:rsidR="00801845" w:rsidRDefault="00801845" w:rsidP="00801845">
      <w:pPr>
        <w:pStyle w:val="Odstavecseseznamem"/>
        <w:numPr>
          <w:ilvl w:val="0"/>
          <w:numId w:val="5"/>
        </w:numPr>
        <w:spacing w:after="120"/>
        <w:jc w:val="both"/>
        <w:rPr>
          <w:rFonts w:ascii="Arial" w:hAnsi="Arial" w:cs="Arial"/>
          <w:sz w:val="22"/>
          <w:szCs w:val="22"/>
        </w:rPr>
      </w:pPr>
      <w:r w:rsidRPr="00FD5929">
        <w:rPr>
          <w:rFonts w:ascii="Arial" w:hAnsi="Arial" w:cs="Arial"/>
          <w:sz w:val="22"/>
          <w:szCs w:val="22"/>
        </w:rPr>
        <w:t xml:space="preserve">Výčet všech podpor zaměřených na tvorbu, rozvoj a provoz infrastruktur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v ČR (včetně ESF) v období 2005 – 2014</w:t>
      </w:r>
      <w:r w:rsidR="00565CA0" w:rsidRPr="00FD5929">
        <w:rPr>
          <w:rFonts w:ascii="Arial" w:hAnsi="Arial" w:cs="Arial"/>
          <w:sz w:val="22"/>
          <w:szCs w:val="22"/>
        </w:rPr>
        <w:t>.</w:t>
      </w:r>
    </w:p>
    <w:p w:rsidR="009B0875" w:rsidRPr="009B0875" w:rsidRDefault="009B0875" w:rsidP="009B0875">
      <w:pPr>
        <w:pStyle w:val="Odstavecseseznamem"/>
        <w:rPr>
          <w:rFonts w:ascii="Arial" w:hAnsi="Arial" w:cs="Arial"/>
          <w:sz w:val="16"/>
          <w:szCs w:val="16"/>
        </w:rPr>
      </w:pPr>
    </w:p>
    <w:p w:rsidR="00565CA0" w:rsidRDefault="00565CA0" w:rsidP="00801845">
      <w:pPr>
        <w:pStyle w:val="Odstavecseseznamem"/>
        <w:numPr>
          <w:ilvl w:val="0"/>
          <w:numId w:val="5"/>
        </w:numPr>
        <w:spacing w:after="120"/>
        <w:jc w:val="both"/>
        <w:rPr>
          <w:rFonts w:ascii="Arial" w:hAnsi="Arial" w:cs="Arial"/>
          <w:sz w:val="22"/>
          <w:szCs w:val="22"/>
        </w:rPr>
      </w:pPr>
      <w:r w:rsidRPr="00FD5929">
        <w:rPr>
          <w:rFonts w:ascii="Arial" w:hAnsi="Arial" w:cs="Arial"/>
          <w:sz w:val="22"/>
          <w:szCs w:val="22"/>
        </w:rPr>
        <w:t xml:space="preserve">Možnosti vícezdrojového financování provozu Infrastruktur </w:t>
      </w:r>
      <w:proofErr w:type="spellStart"/>
      <w:r w:rsidRPr="00FD5929">
        <w:rPr>
          <w:rFonts w:ascii="Arial" w:hAnsi="Arial" w:cs="Arial"/>
          <w:sz w:val="22"/>
          <w:szCs w:val="22"/>
        </w:rPr>
        <w:t>VaVaI</w:t>
      </w:r>
      <w:proofErr w:type="spellEnd"/>
      <w:r w:rsidRPr="00FD5929">
        <w:rPr>
          <w:rFonts w:ascii="Arial" w:hAnsi="Arial" w:cs="Arial"/>
          <w:sz w:val="22"/>
          <w:szCs w:val="22"/>
        </w:rPr>
        <w:t>.</w:t>
      </w:r>
    </w:p>
    <w:p w:rsidR="009B0875" w:rsidRPr="009B0875" w:rsidRDefault="009B0875" w:rsidP="009B0875">
      <w:pPr>
        <w:pStyle w:val="Odstavecseseznamem"/>
        <w:rPr>
          <w:rFonts w:ascii="Arial" w:hAnsi="Arial" w:cs="Arial"/>
          <w:sz w:val="16"/>
          <w:szCs w:val="16"/>
        </w:rPr>
      </w:pPr>
    </w:p>
    <w:p w:rsidR="00801845" w:rsidRDefault="00801845" w:rsidP="00801845">
      <w:pPr>
        <w:pStyle w:val="Odstavecseseznamem"/>
        <w:numPr>
          <w:ilvl w:val="0"/>
          <w:numId w:val="5"/>
        </w:numPr>
        <w:spacing w:after="120"/>
        <w:jc w:val="both"/>
        <w:rPr>
          <w:rFonts w:ascii="Arial" w:hAnsi="Arial" w:cs="Arial"/>
          <w:sz w:val="22"/>
          <w:szCs w:val="22"/>
        </w:rPr>
      </w:pPr>
      <w:r w:rsidRPr="00FD5929">
        <w:rPr>
          <w:rFonts w:ascii="Arial" w:hAnsi="Arial" w:cs="Arial"/>
          <w:sz w:val="22"/>
          <w:szCs w:val="22"/>
        </w:rPr>
        <w:t>Charakteristiku možných přínosů na základě indikátorů udržitelnosti na příkl</w:t>
      </w:r>
      <w:r w:rsidR="00565CA0" w:rsidRPr="00FD5929">
        <w:rPr>
          <w:rFonts w:ascii="Arial" w:hAnsi="Arial" w:cs="Arial"/>
          <w:sz w:val="22"/>
          <w:szCs w:val="22"/>
        </w:rPr>
        <w:t>a</w:t>
      </w:r>
      <w:r w:rsidRPr="00FD5929">
        <w:rPr>
          <w:rFonts w:ascii="Arial" w:hAnsi="Arial" w:cs="Arial"/>
          <w:sz w:val="22"/>
          <w:szCs w:val="22"/>
        </w:rPr>
        <w:t>du tzv.</w:t>
      </w:r>
      <w:r w:rsidR="009B0875">
        <w:rPr>
          <w:rFonts w:ascii="Arial" w:hAnsi="Arial" w:cs="Arial"/>
          <w:sz w:val="22"/>
          <w:szCs w:val="22"/>
        </w:rPr>
        <w:t> </w:t>
      </w:r>
      <w:r w:rsidRPr="00FD5929">
        <w:rPr>
          <w:rFonts w:ascii="Arial" w:hAnsi="Arial" w:cs="Arial"/>
          <w:sz w:val="22"/>
          <w:szCs w:val="22"/>
        </w:rPr>
        <w:t>velkých projektů financovaných z </w:t>
      </w:r>
      <w:proofErr w:type="gramStart"/>
      <w:r w:rsidRPr="00FD5929">
        <w:rPr>
          <w:rFonts w:ascii="Arial" w:hAnsi="Arial" w:cs="Arial"/>
          <w:sz w:val="22"/>
          <w:szCs w:val="22"/>
        </w:rPr>
        <w:t>OP</w:t>
      </w:r>
      <w:proofErr w:type="gramEnd"/>
      <w:r w:rsidRPr="00FD5929">
        <w:rPr>
          <w:rFonts w:ascii="Arial" w:hAnsi="Arial" w:cs="Arial"/>
          <w:sz w:val="22"/>
          <w:szCs w:val="22"/>
        </w:rPr>
        <w:t xml:space="preserve"> </w:t>
      </w:r>
      <w:proofErr w:type="spellStart"/>
      <w:r w:rsidRPr="00FD5929">
        <w:rPr>
          <w:rFonts w:ascii="Arial" w:hAnsi="Arial" w:cs="Arial"/>
          <w:sz w:val="22"/>
          <w:szCs w:val="22"/>
        </w:rPr>
        <w:t>VaVpI</w:t>
      </w:r>
      <w:proofErr w:type="spellEnd"/>
      <w:r w:rsidR="00565CA0" w:rsidRPr="00FD5929">
        <w:rPr>
          <w:rFonts w:ascii="Arial" w:hAnsi="Arial" w:cs="Arial"/>
          <w:sz w:val="22"/>
          <w:szCs w:val="22"/>
        </w:rPr>
        <w:t>.</w:t>
      </w:r>
    </w:p>
    <w:p w:rsidR="009B0875" w:rsidRPr="009B0875" w:rsidRDefault="009B0875" w:rsidP="009B0875">
      <w:pPr>
        <w:pStyle w:val="Odstavecseseznamem"/>
        <w:rPr>
          <w:rFonts w:ascii="Arial" w:hAnsi="Arial" w:cs="Arial"/>
          <w:sz w:val="16"/>
          <w:szCs w:val="16"/>
        </w:rPr>
      </w:pPr>
    </w:p>
    <w:p w:rsidR="00565CA0" w:rsidRPr="00FD5929" w:rsidRDefault="00565CA0" w:rsidP="00801845">
      <w:pPr>
        <w:pStyle w:val="Odstavecseseznamem"/>
        <w:numPr>
          <w:ilvl w:val="0"/>
          <w:numId w:val="5"/>
        </w:numPr>
        <w:spacing w:after="120"/>
        <w:jc w:val="both"/>
        <w:rPr>
          <w:rFonts w:ascii="Arial" w:hAnsi="Arial" w:cs="Arial"/>
          <w:sz w:val="22"/>
          <w:szCs w:val="22"/>
        </w:rPr>
      </w:pPr>
      <w:r w:rsidRPr="00FD5929">
        <w:rPr>
          <w:rFonts w:ascii="Arial" w:hAnsi="Arial" w:cs="Arial"/>
          <w:sz w:val="22"/>
          <w:szCs w:val="22"/>
        </w:rPr>
        <w:t xml:space="preserve">Rozbor nákladů na činnost Infrastruktur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a jejich krytí z různých zdrojů pomocí dostupných nástrojů na příkladu tzv. velkých projektů OP </w:t>
      </w:r>
      <w:proofErr w:type="spellStart"/>
      <w:r w:rsidRPr="00FD5929">
        <w:rPr>
          <w:rFonts w:ascii="Arial" w:hAnsi="Arial" w:cs="Arial"/>
          <w:sz w:val="22"/>
          <w:szCs w:val="22"/>
        </w:rPr>
        <w:t>VaVpI</w:t>
      </w:r>
      <w:proofErr w:type="spellEnd"/>
      <w:r w:rsidRPr="00FD5929">
        <w:rPr>
          <w:rFonts w:ascii="Arial" w:hAnsi="Arial" w:cs="Arial"/>
          <w:sz w:val="22"/>
          <w:szCs w:val="22"/>
        </w:rPr>
        <w:t>.</w:t>
      </w:r>
    </w:p>
    <w:p w:rsidR="00796D4B" w:rsidRPr="00FD5929" w:rsidRDefault="00796D4B" w:rsidP="00796D4B">
      <w:pPr>
        <w:pStyle w:val="Odstavecseseznamem"/>
        <w:spacing w:after="120"/>
        <w:jc w:val="both"/>
        <w:rPr>
          <w:rFonts w:ascii="Arial" w:hAnsi="Arial" w:cs="Arial"/>
          <w:sz w:val="22"/>
          <w:szCs w:val="22"/>
        </w:rPr>
      </w:pPr>
    </w:p>
    <w:p w:rsidR="009B0875" w:rsidRDefault="00346FB6" w:rsidP="009B0875">
      <w:pPr>
        <w:pStyle w:val="Odstavecseseznamem"/>
        <w:spacing w:after="120"/>
        <w:ind w:left="0"/>
        <w:jc w:val="both"/>
        <w:rPr>
          <w:rFonts w:ascii="Arial" w:hAnsi="Arial" w:cs="Arial"/>
          <w:sz w:val="22"/>
          <w:szCs w:val="22"/>
        </w:rPr>
      </w:pPr>
      <w:r w:rsidRPr="00FD5929">
        <w:rPr>
          <w:rFonts w:ascii="Arial" w:hAnsi="Arial" w:cs="Arial"/>
          <w:b/>
          <w:sz w:val="22"/>
          <w:szCs w:val="22"/>
        </w:rPr>
        <w:t>K</w:t>
      </w:r>
      <w:r w:rsidR="00B96345" w:rsidRPr="00FD5929">
        <w:rPr>
          <w:rFonts w:ascii="Arial" w:hAnsi="Arial" w:cs="Arial"/>
          <w:b/>
          <w:sz w:val="22"/>
          <w:szCs w:val="22"/>
        </w:rPr>
        <w:t xml:space="preserve">apitola </w:t>
      </w:r>
      <w:r w:rsidR="00646077" w:rsidRPr="00FD5929">
        <w:rPr>
          <w:rFonts w:ascii="Arial" w:hAnsi="Arial" w:cs="Arial"/>
          <w:b/>
          <w:sz w:val="22"/>
          <w:szCs w:val="22"/>
        </w:rPr>
        <w:t>V</w:t>
      </w:r>
      <w:r w:rsidR="00B96345" w:rsidRPr="00FD5929">
        <w:rPr>
          <w:rFonts w:ascii="Arial" w:hAnsi="Arial" w:cs="Arial"/>
          <w:b/>
          <w:sz w:val="22"/>
          <w:szCs w:val="22"/>
        </w:rPr>
        <w:t xml:space="preserve">ýsledky </w:t>
      </w:r>
      <w:r w:rsidR="00646077" w:rsidRPr="00FD5929">
        <w:rPr>
          <w:rFonts w:ascii="Arial" w:hAnsi="Arial" w:cs="Arial"/>
          <w:b/>
          <w:sz w:val="22"/>
          <w:szCs w:val="22"/>
        </w:rPr>
        <w:t xml:space="preserve">výzkumu a vývoje </w:t>
      </w:r>
      <w:r w:rsidRPr="00FD5929">
        <w:rPr>
          <w:rFonts w:ascii="Arial" w:hAnsi="Arial" w:cs="Arial"/>
          <w:b/>
          <w:sz w:val="22"/>
          <w:szCs w:val="22"/>
        </w:rPr>
        <w:t xml:space="preserve">naznačuje kategorizaci různých výsledků </w:t>
      </w:r>
      <w:proofErr w:type="spellStart"/>
      <w:r w:rsidRPr="00FD5929">
        <w:rPr>
          <w:rFonts w:ascii="Arial" w:hAnsi="Arial" w:cs="Arial"/>
          <w:b/>
          <w:sz w:val="22"/>
          <w:szCs w:val="22"/>
        </w:rPr>
        <w:t>VaVaI</w:t>
      </w:r>
      <w:proofErr w:type="spellEnd"/>
      <w:r w:rsidRPr="00FD5929">
        <w:rPr>
          <w:rFonts w:ascii="Arial" w:hAnsi="Arial" w:cs="Arial"/>
          <w:b/>
          <w:sz w:val="22"/>
          <w:szCs w:val="22"/>
        </w:rPr>
        <w:t xml:space="preserve"> dle oborů a současně provádí mezinárodní srovnání výsledků. Kapitola naznačuje přínosy a nedostatky současného systému hodnocení. </w:t>
      </w:r>
      <w:r w:rsidRPr="001E1F03">
        <w:rPr>
          <w:rFonts w:ascii="Arial" w:hAnsi="Arial" w:cs="Arial"/>
          <w:sz w:val="22"/>
          <w:szCs w:val="22"/>
        </w:rPr>
        <w:t>Kapitola vychází</w:t>
      </w:r>
      <w:r w:rsidRPr="00FD5929">
        <w:rPr>
          <w:rFonts w:ascii="Arial" w:hAnsi="Arial" w:cs="Arial"/>
          <w:b/>
          <w:sz w:val="22"/>
          <w:szCs w:val="22"/>
        </w:rPr>
        <w:t xml:space="preserve"> </w:t>
      </w:r>
      <w:r w:rsidRPr="00FD5929">
        <w:rPr>
          <w:rFonts w:ascii="Arial" w:hAnsi="Arial" w:cs="Arial"/>
          <w:sz w:val="22"/>
          <w:szCs w:val="22"/>
        </w:rPr>
        <w:t xml:space="preserve">z interního zpracování </w:t>
      </w:r>
      <w:r w:rsidR="005E31A9" w:rsidRPr="00FD5929">
        <w:rPr>
          <w:rFonts w:ascii="Arial" w:hAnsi="Arial" w:cs="Arial"/>
          <w:sz w:val="22"/>
          <w:szCs w:val="22"/>
        </w:rPr>
        <w:t xml:space="preserve">datových výstupů z informačního systému </w:t>
      </w:r>
      <w:proofErr w:type="spellStart"/>
      <w:r w:rsidR="005E31A9" w:rsidRPr="00FD5929">
        <w:rPr>
          <w:rFonts w:ascii="Arial" w:hAnsi="Arial" w:cs="Arial"/>
          <w:sz w:val="22"/>
          <w:szCs w:val="22"/>
        </w:rPr>
        <w:t>VaVaI</w:t>
      </w:r>
      <w:proofErr w:type="spellEnd"/>
      <w:r w:rsidR="005E31A9" w:rsidRPr="00FD5929">
        <w:rPr>
          <w:rFonts w:ascii="Arial" w:hAnsi="Arial" w:cs="Arial"/>
          <w:sz w:val="22"/>
          <w:szCs w:val="22"/>
        </w:rPr>
        <w:t xml:space="preserve"> a citačních databází. </w:t>
      </w:r>
    </w:p>
    <w:p w:rsidR="009B0875" w:rsidRDefault="009B0875" w:rsidP="009B0875">
      <w:pPr>
        <w:pStyle w:val="Odstavecseseznamem"/>
        <w:spacing w:after="120"/>
        <w:ind w:left="0"/>
        <w:jc w:val="both"/>
        <w:rPr>
          <w:rFonts w:ascii="Arial" w:hAnsi="Arial" w:cs="Arial"/>
          <w:sz w:val="22"/>
          <w:szCs w:val="22"/>
        </w:rPr>
      </w:pPr>
      <w:r>
        <w:rPr>
          <w:rFonts w:ascii="Arial" w:hAnsi="Arial" w:cs="Arial"/>
          <w:sz w:val="22"/>
          <w:szCs w:val="22"/>
        </w:rPr>
        <w:t>Obsahuje především:</w:t>
      </w:r>
    </w:p>
    <w:p w:rsidR="00346FB6" w:rsidRPr="00FD5929" w:rsidRDefault="00346FB6" w:rsidP="009B0875">
      <w:pPr>
        <w:pStyle w:val="Odstavecseseznamem"/>
        <w:spacing w:after="120"/>
        <w:ind w:left="0"/>
        <w:jc w:val="both"/>
        <w:rPr>
          <w:rFonts w:ascii="Arial" w:hAnsi="Arial" w:cs="Arial"/>
          <w:sz w:val="22"/>
          <w:szCs w:val="22"/>
        </w:rPr>
      </w:pPr>
    </w:p>
    <w:p w:rsidR="00346FB6" w:rsidRDefault="000F58D1" w:rsidP="00346FB6">
      <w:pPr>
        <w:pStyle w:val="Odstavecseseznamem"/>
        <w:numPr>
          <w:ilvl w:val="0"/>
          <w:numId w:val="5"/>
        </w:numPr>
        <w:spacing w:after="120"/>
        <w:jc w:val="both"/>
        <w:rPr>
          <w:rFonts w:ascii="Arial" w:hAnsi="Arial" w:cs="Arial"/>
          <w:sz w:val="22"/>
          <w:szCs w:val="22"/>
        </w:rPr>
      </w:pPr>
      <w:r>
        <w:rPr>
          <w:rFonts w:ascii="Arial" w:hAnsi="Arial" w:cs="Arial"/>
          <w:sz w:val="22"/>
          <w:szCs w:val="22"/>
        </w:rPr>
        <w:t>R</w:t>
      </w:r>
      <w:r w:rsidR="005E31A9" w:rsidRPr="00FD5929">
        <w:rPr>
          <w:rFonts w:ascii="Arial" w:hAnsi="Arial" w:cs="Arial"/>
          <w:sz w:val="22"/>
          <w:szCs w:val="22"/>
        </w:rPr>
        <w:t xml:space="preserve">ozbor publikačních </w:t>
      </w:r>
      <w:r w:rsidR="00063AB3" w:rsidRPr="00FD5929">
        <w:rPr>
          <w:rFonts w:ascii="Arial" w:hAnsi="Arial" w:cs="Arial"/>
          <w:sz w:val="22"/>
          <w:szCs w:val="22"/>
        </w:rPr>
        <w:t>výsledků</w:t>
      </w:r>
      <w:r w:rsidR="005E31A9" w:rsidRPr="00FD5929">
        <w:rPr>
          <w:rFonts w:ascii="Arial" w:hAnsi="Arial" w:cs="Arial"/>
          <w:sz w:val="22"/>
          <w:szCs w:val="22"/>
        </w:rPr>
        <w:t xml:space="preserve"> a vý</w:t>
      </w:r>
      <w:r w:rsidR="00063AB3" w:rsidRPr="00FD5929">
        <w:rPr>
          <w:rFonts w:ascii="Arial" w:hAnsi="Arial" w:cs="Arial"/>
          <w:sz w:val="22"/>
          <w:szCs w:val="22"/>
        </w:rPr>
        <w:t>sledků</w:t>
      </w:r>
      <w:r w:rsidR="005E31A9" w:rsidRPr="00FD5929">
        <w:rPr>
          <w:rFonts w:ascii="Arial" w:hAnsi="Arial" w:cs="Arial"/>
          <w:sz w:val="22"/>
          <w:szCs w:val="22"/>
        </w:rPr>
        <w:t xml:space="preserve"> s aplikačním potenciálem, v </w:t>
      </w:r>
      <w:r w:rsidR="00063AB3" w:rsidRPr="00FD5929">
        <w:rPr>
          <w:rFonts w:ascii="Arial" w:hAnsi="Arial" w:cs="Arial"/>
          <w:sz w:val="22"/>
          <w:szCs w:val="22"/>
        </w:rPr>
        <w:t>nejvýznamnějších</w:t>
      </w:r>
      <w:r w:rsidR="009B0875">
        <w:rPr>
          <w:rFonts w:ascii="Arial" w:hAnsi="Arial" w:cs="Arial"/>
          <w:sz w:val="22"/>
          <w:szCs w:val="22"/>
        </w:rPr>
        <w:t xml:space="preserve"> indikátorech.</w:t>
      </w:r>
    </w:p>
    <w:p w:rsidR="009B0875" w:rsidRPr="009B0875" w:rsidRDefault="009B0875" w:rsidP="009B0875">
      <w:pPr>
        <w:pStyle w:val="Odstavecseseznamem"/>
        <w:spacing w:after="120"/>
        <w:jc w:val="both"/>
        <w:rPr>
          <w:rFonts w:ascii="Arial" w:hAnsi="Arial" w:cs="Arial"/>
          <w:sz w:val="16"/>
          <w:szCs w:val="16"/>
        </w:rPr>
      </w:pPr>
    </w:p>
    <w:p w:rsidR="00346FB6" w:rsidRDefault="000F58D1" w:rsidP="00346FB6">
      <w:pPr>
        <w:pStyle w:val="Odstavecseseznamem"/>
        <w:numPr>
          <w:ilvl w:val="0"/>
          <w:numId w:val="5"/>
        </w:numPr>
        <w:spacing w:after="120"/>
        <w:jc w:val="both"/>
        <w:rPr>
          <w:rFonts w:ascii="Arial" w:hAnsi="Arial" w:cs="Arial"/>
          <w:sz w:val="22"/>
          <w:szCs w:val="22"/>
        </w:rPr>
      </w:pPr>
      <w:r>
        <w:rPr>
          <w:rFonts w:ascii="Arial" w:hAnsi="Arial" w:cs="Arial"/>
          <w:sz w:val="22"/>
          <w:szCs w:val="22"/>
        </w:rPr>
        <w:t>M</w:t>
      </w:r>
      <w:r w:rsidR="005E31A9" w:rsidRPr="00FD5929">
        <w:rPr>
          <w:rFonts w:ascii="Arial" w:hAnsi="Arial" w:cs="Arial"/>
          <w:sz w:val="22"/>
          <w:szCs w:val="22"/>
        </w:rPr>
        <w:t>ezinárodní srovnání</w:t>
      </w:r>
      <w:r w:rsidR="001E1F03">
        <w:rPr>
          <w:rFonts w:ascii="Arial" w:hAnsi="Arial" w:cs="Arial"/>
          <w:sz w:val="22"/>
          <w:szCs w:val="22"/>
        </w:rPr>
        <w:t xml:space="preserve"> oborově strukturovaného citačního ohlasu publikací</w:t>
      </w:r>
      <w:r w:rsidR="005E31A9" w:rsidRPr="00FD5929">
        <w:rPr>
          <w:rFonts w:ascii="Arial" w:hAnsi="Arial" w:cs="Arial"/>
          <w:sz w:val="22"/>
          <w:szCs w:val="22"/>
        </w:rPr>
        <w:t xml:space="preserve">. </w:t>
      </w:r>
    </w:p>
    <w:p w:rsidR="009B0875" w:rsidRPr="009B0875" w:rsidRDefault="009B0875" w:rsidP="009B0875">
      <w:pPr>
        <w:pStyle w:val="Odstavecseseznamem"/>
        <w:rPr>
          <w:rFonts w:ascii="Arial" w:hAnsi="Arial" w:cs="Arial"/>
          <w:sz w:val="16"/>
          <w:szCs w:val="16"/>
        </w:rPr>
      </w:pPr>
    </w:p>
    <w:p w:rsidR="00B96345" w:rsidRPr="00FD5929" w:rsidRDefault="001E1F03" w:rsidP="00346FB6">
      <w:pPr>
        <w:pStyle w:val="Odstavecseseznamem"/>
        <w:numPr>
          <w:ilvl w:val="0"/>
          <w:numId w:val="5"/>
        </w:numPr>
        <w:spacing w:after="120"/>
        <w:jc w:val="both"/>
        <w:rPr>
          <w:rFonts w:ascii="Arial" w:hAnsi="Arial" w:cs="Arial"/>
          <w:sz w:val="22"/>
          <w:szCs w:val="22"/>
        </w:rPr>
      </w:pPr>
      <w:r>
        <w:rPr>
          <w:rFonts w:ascii="Arial" w:hAnsi="Arial" w:cs="Arial"/>
          <w:sz w:val="22"/>
          <w:szCs w:val="22"/>
        </w:rPr>
        <w:t xml:space="preserve">Rozbor </w:t>
      </w:r>
      <w:r w:rsidR="005E31A9" w:rsidRPr="00FD5929">
        <w:rPr>
          <w:rFonts w:ascii="Arial" w:hAnsi="Arial" w:cs="Arial"/>
          <w:sz w:val="22"/>
          <w:szCs w:val="22"/>
        </w:rPr>
        <w:t>mezinárodní spolupráce na publikacích.</w:t>
      </w:r>
    </w:p>
    <w:p w:rsidR="00796D4B" w:rsidRPr="00FD5929" w:rsidRDefault="00796D4B" w:rsidP="00796D4B">
      <w:pPr>
        <w:pStyle w:val="Odstavecseseznamem"/>
        <w:spacing w:after="120"/>
        <w:jc w:val="both"/>
        <w:rPr>
          <w:rFonts w:ascii="Arial" w:hAnsi="Arial" w:cs="Arial"/>
          <w:sz w:val="22"/>
          <w:szCs w:val="22"/>
        </w:rPr>
      </w:pPr>
    </w:p>
    <w:p w:rsidR="000F58D1" w:rsidRDefault="005E31A9" w:rsidP="009B0875">
      <w:pPr>
        <w:pStyle w:val="Odstavecseseznamem"/>
        <w:spacing w:after="120"/>
        <w:ind w:left="0"/>
        <w:jc w:val="both"/>
        <w:rPr>
          <w:rFonts w:ascii="Arial" w:hAnsi="Arial" w:cs="Arial"/>
          <w:sz w:val="22"/>
          <w:szCs w:val="22"/>
        </w:rPr>
      </w:pPr>
      <w:r w:rsidRPr="001F4B04">
        <w:rPr>
          <w:rFonts w:ascii="Arial" w:hAnsi="Arial" w:cs="Arial"/>
          <w:b/>
          <w:sz w:val="22"/>
          <w:szCs w:val="22"/>
        </w:rPr>
        <w:t xml:space="preserve">Kapitola </w:t>
      </w:r>
      <w:r w:rsidR="00AD7D1E" w:rsidRPr="001F4B04">
        <w:rPr>
          <w:rFonts w:ascii="Arial" w:hAnsi="Arial" w:cs="Arial"/>
          <w:b/>
          <w:sz w:val="22"/>
          <w:szCs w:val="22"/>
        </w:rPr>
        <w:t>Inovační</w:t>
      </w:r>
      <w:r w:rsidR="00AD7D1E" w:rsidRPr="00FD5929">
        <w:rPr>
          <w:rFonts w:ascii="Arial" w:hAnsi="Arial" w:cs="Arial"/>
          <w:b/>
          <w:sz w:val="22"/>
          <w:szCs w:val="22"/>
        </w:rPr>
        <w:t xml:space="preserve"> výkonnost české ekonomiky a její mezinárodní srovnání</w:t>
      </w:r>
      <w:r w:rsidRPr="00FD5929">
        <w:rPr>
          <w:rFonts w:ascii="Arial" w:hAnsi="Arial" w:cs="Arial"/>
          <w:sz w:val="22"/>
          <w:szCs w:val="22"/>
        </w:rPr>
        <w:t xml:space="preserve"> analyzuje inovační výkonnost ČR prostřednictvím mezinárodně </w:t>
      </w:r>
      <w:r w:rsidR="00063AB3" w:rsidRPr="00FD5929">
        <w:rPr>
          <w:rFonts w:ascii="Arial" w:hAnsi="Arial" w:cs="Arial"/>
          <w:sz w:val="22"/>
          <w:szCs w:val="22"/>
        </w:rPr>
        <w:t>uznávaných</w:t>
      </w:r>
      <w:r w:rsidRPr="00FD5929">
        <w:rPr>
          <w:rFonts w:ascii="Arial" w:hAnsi="Arial" w:cs="Arial"/>
          <w:sz w:val="22"/>
          <w:szCs w:val="22"/>
        </w:rPr>
        <w:t xml:space="preserve"> indikátorů a</w:t>
      </w:r>
      <w:r w:rsidR="000F58D1">
        <w:rPr>
          <w:rFonts w:ascii="Arial" w:hAnsi="Arial" w:cs="Arial"/>
          <w:sz w:val="22"/>
          <w:szCs w:val="22"/>
        </w:rPr>
        <w:t> </w:t>
      </w:r>
      <w:r w:rsidRPr="00FD5929">
        <w:rPr>
          <w:rFonts w:ascii="Arial" w:hAnsi="Arial" w:cs="Arial"/>
          <w:sz w:val="22"/>
          <w:szCs w:val="22"/>
        </w:rPr>
        <w:t>obsahuje rovněž srovnání ČR s jinými st</w:t>
      </w:r>
      <w:r w:rsidR="00063AB3" w:rsidRPr="00FD5929">
        <w:rPr>
          <w:rFonts w:ascii="Arial" w:hAnsi="Arial" w:cs="Arial"/>
          <w:sz w:val="22"/>
          <w:szCs w:val="22"/>
        </w:rPr>
        <w:t>áty</w:t>
      </w:r>
      <w:r w:rsidRPr="00FD5929">
        <w:rPr>
          <w:rFonts w:ascii="Arial" w:hAnsi="Arial" w:cs="Arial"/>
          <w:sz w:val="22"/>
          <w:szCs w:val="22"/>
        </w:rPr>
        <w:t xml:space="preserve"> EU a OECD.</w:t>
      </w:r>
      <w:r w:rsidR="005A7C0C" w:rsidRPr="00FD5929">
        <w:rPr>
          <w:rFonts w:ascii="Arial" w:hAnsi="Arial" w:cs="Arial"/>
          <w:sz w:val="22"/>
          <w:szCs w:val="22"/>
        </w:rPr>
        <w:t xml:space="preserve"> </w:t>
      </w:r>
    </w:p>
    <w:p w:rsidR="005E31A9" w:rsidRDefault="005A7C0C" w:rsidP="009B0875">
      <w:pPr>
        <w:pStyle w:val="Odstavecseseznamem"/>
        <w:spacing w:after="120"/>
        <w:ind w:left="0"/>
        <w:jc w:val="both"/>
        <w:rPr>
          <w:rFonts w:ascii="Arial" w:hAnsi="Arial" w:cs="Arial"/>
          <w:sz w:val="22"/>
          <w:szCs w:val="22"/>
        </w:rPr>
      </w:pPr>
      <w:r w:rsidRPr="00FD5929">
        <w:rPr>
          <w:rFonts w:ascii="Arial" w:hAnsi="Arial" w:cs="Arial"/>
          <w:sz w:val="22"/>
          <w:szCs w:val="22"/>
        </w:rPr>
        <w:t xml:space="preserve">Obsahuje </w:t>
      </w:r>
      <w:r w:rsidR="009B0875">
        <w:rPr>
          <w:rFonts w:ascii="Arial" w:hAnsi="Arial" w:cs="Arial"/>
          <w:sz w:val="22"/>
          <w:szCs w:val="22"/>
        </w:rPr>
        <w:t>především</w:t>
      </w:r>
      <w:r w:rsidRPr="00FD5929">
        <w:rPr>
          <w:rFonts w:ascii="Arial" w:hAnsi="Arial" w:cs="Arial"/>
          <w:sz w:val="22"/>
          <w:szCs w:val="22"/>
        </w:rPr>
        <w:t>:</w:t>
      </w:r>
    </w:p>
    <w:p w:rsidR="009B0875" w:rsidRPr="00FD5929" w:rsidRDefault="009B0875" w:rsidP="009B0875">
      <w:pPr>
        <w:pStyle w:val="Odstavecseseznamem"/>
        <w:spacing w:after="120"/>
        <w:ind w:left="0"/>
        <w:jc w:val="both"/>
        <w:rPr>
          <w:rFonts w:ascii="Arial" w:hAnsi="Arial" w:cs="Arial"/>
          <w:sz w:val="22"/>
          <w:szCs w:val="22"/>
        </w:rPr>
      </w:pPr>
    </w:p>
    <w:p w:rsidR="005A7C0C" w:rsidRDefault="005A7C0C" w:rsidP="009D5429">
      <w:pPr>
        <w:pStyle w:val="Odstavecseseznamem"/>
        <w:numPr>
          <w:ilvl w:val="0"/>
          <w:numId w:val="5"/>
        </w:numPr>
        <w:spacing w:after="120"/>
        <w:jc w:val="both"/>
        <w:rPr>
          <w:rFonts w:ascii="Arial" w:hAnsi="Arial" w:cs="Arial"/>
          <w:sz w:val="22"/>
          <w:szCs w:val="22"/>
        </w:rPr>
      </w:pPr>
      <w:r w:rsidRPr="00FD5929">
        <w:rPr>
          <w:rFonts w:ascii="Arial" w:hAnsi="Arial" w:cs="Arial"/>
          <w:sz w:val="22"/>
          <w:szCs w:val="22"/>
        </w:rPr>
        <w:t>Mezinárodní srovnání ČR s ostatními státy dle tzv. znalostní intenzity ekonomiky.</w:t>
      </w:r>
    </w:p>
    <w:p w:rsidR="009B0875" w:rsidRPr="009B0875" w:rsidRDefault="009B0875" w:rsidP="009B0875">
      <w:pPr>
        <w:pStyle w:val="Odstavecseseznamem"/>
        <w:spacing w:after="120"/>
        <w:jc w:val="both"/>
        <w:rPr>
          <w:rFonts w:ascii="Arial" w:hAnsi="Arial" w:cs="Arial"/>
          <w:sz w:val="16"/>
          <w:szCs w:val="16"/>
        </w:rPr>
      </w:pPr>
    </w:p>
    <w:p w:rsidR="005A7C0C" w:rsidRDefault="005A7C0C" w:rsidP="009D5429">
      <w:pPr>
        <w:pStyle w:val="Odstavecseseznamem"/>
        <w:numPr>
          <w:ilvl w:val="0"/>
          <w:numId w:val="5"/>
        </w:numPr>
        <w:spacing w:after="120"/>
        <w:jc w:val="both"/>
        <w:rPr>
          <w:rFonts w:ascii="Arial" w:hAnsi="Arial" w:cs="Arial"/>
          <w:sz w:val="22"/>
          <w:szCs w:val="22"/>
        </w:rPr>
      </w:pPr>
      <w:r w:rsidRPr="00FD5929">
        <w:rPr>
          <w:rFonts w:ascii="Arial" w:hAnsi="Arial" w:cs="Arial"/>
          <w:sz w:val="22"/>
          <w:szCs w:val="22"/>
        </w:rPr>
        <w:t>Mezinárodní srovnání na základě složeného indikátoru Souhrnný inovační index (SII).</w:t>
      </w:r>
    </w:p>
    <w:p w:rsidR="009B0875" w:rsidRPr="009B0875" w:rsidRDefault="009B0875" w:rsidP="009B0875">
      <w:pPr>
        <w:pStyle w:val="Odstavecseseznamem"/>
        <w:rPr>
          <w:rFonts w:ascii="Arial" w:hAnsi="Arial" w:cs="Arial"/>
          <w:sz w:val="16"/>
          <w:szCs w:val="16"/>
        </w:rPr>
      </w:pPr>
    </w:p>
    <w:p w:rsidR="005A7C0C" w:rsidRDefault="005A7C0C" w:rsidP="009D5429">
      <w:pPr>
        <w:pStyle w:val="Odstavecseseznamem"/>
        <w:numPr>
          <w:ilvl w:val="0"/>
          <w:numId w:val="5"/>
        </w:numPr>
        <w:spacing w:after="120"/>
        <w:jc w:val="both"/>
        <w:rPr>
          <w:rFonts w:ascii="Arial" w:hAnsi="Arial" w:cs="Arial"/>
          <w:sz w:val="22"/>
          <w:szCs w:val="22"/>
        </w:rPr>
      </w:pPr>
      <w:r w:rsidRPr="00FD5929">
        <w:rPr>
          <w:rFonts w:ascii="Arial" w:hAnsi="Arial" w:cs="Arial"/>
          <w:sz w:val="22"/>
          <w:szCs w:val="22"/>
        </w:rPr>
        <w:lastRenderedPageBreak/>
        <w:t xml:space="preserve">Rozbor </w:t>
      </w:r>
      <w:r w:rsidR="005728AC" w:rsidRPr="00FD5929">
        <w:rPr>
          <w:rFonts w:ascii="Arial" w:hAnsi="Arial" w:cs="Arial"/>
          <w:sz w:val="22"/>
          <w:szCs w:val="22"/>
        </w:rPr>
        <w:t xml:space="preserve">jednotlivých </w:t>
      </w:r>
      <w:r w:rsidRPr="00FD5929">
        <w:rPr>
          <w:rFonts w:ascii="Arial" w:hAnsi="Arial" w:cs="Arial"/>
          <w:sz w:val="22"/>
          <w:szCs w:val="22"/>
        </w:rPr>
        <w:t>dílčích ukazatelů SII včetně analýzy trendu a srovnání s Rakouskem.</w:t>
      </w:r>
    </w:p>
    <w:p w:rsidR="009B0875" w:rsidRPr="009B0875" w:rsidRDefault="009B0875" w:rsidP="009B0875">
      <w:pPr>
        <w:pStyle w:val="Odstavecseseznamem"/>
        <w:rPr>
          <w:rFonts w:ascii="Arial" w:hAnsi="Arial" w:cs="Arial"/>
          <w:sz w:val="16"/>
          <w:szCs w:val="16"/>
        </w:rPr>
      </w:pPr>
    </w:p>
    <w:p w:rsidR="005A7C0C" w:rsidRPr="00FD5929" w:rsidRDefault="005A7C0C" w:rsidP="009D5429">
      <w:pPr>
        <w:pStyle w:val="Odstavecseseznamem"/>
        <w:numPr>
          <w:ilvl w:val="0"/>
          <w:numId w:val="5"/>
        </w:numPr>
        <w:spacing w:after="120"/>
        <w:jc w:val="both"/>
        <w:rPr>
          <w:rFonts w:ascii="Arial" w:hAnsi="Arial" w:cs="Arial"/>
          <w:sz w:val="22"/>
          <w:szCs w:val="22"/>
        </w:rPr>
      </w:pPr>
      <w:r w:rsidRPr="00FD5929">
        <w:rPr>
          <w:rFonts w:ascii="Arial" w:hAnsi="Arial" w:cs="Arial"/>
          <w:sz w:val="22"/>
          <w:szCs w:val="22"/>
        </w:rPr>
        <w:t xml:space="preserve">Mezinárodní srovnání na základě složeného indikátoru </w:t>
      </w:r>
      <w:proofErr w:type="spellStart"/>
      <w:r w:rsidRPr="00FD5929">
        <w:rPr>
          <w:rFonts w:ascii="Arial" w:hAnsi="Arial" w:cs="Arial"/>
          <w:sz w:val="22"/>
          <w:szCs w:val="22"/>
        </w:rPr>
        <w:t>Innovation</w:t>
      </w:r>
      <w:proofErr w:type="spellEnd"/>
      <w:r w:rsidRPr="00FD5929">
        <w:rPr>
          <w:rFonts w:ascii="Arial" w:hAnsi="Arial" w:cs="Arial"/>
          <w:sz w:val="22"/>
          <w:szCs w:val="22"/>
        </w:rPr>
        <w:t xml:space="preserve"> Output </w:t>
      </w:r>
      <w:proofErr w:type="spellStart"/>
      <w:r w:rsidRPr="00FD5929">
        <w:rPr>
          <w:rFonts w:ascii="Arial" w:hAnsi="Arial" w:cs="Arial"/>
          <w:sz w:val="22"/>
          <w:szCs w:val="22"/>
        </w:rPr>
        <w:t>Indicator</w:t>
      </w:r>
      <w:proofErr w:type="spellEnd"/>
      <w:r w:rsidRPr="00FD5929">
        <w:rPr>
          <w:rFonts w:ascii="Arial" w:hAnsi="Arial" w:cs="Arial"/>
          <w:sz w:val="22"/>
          <w:szCs w:val="22"/>
        </w:rPr>
        <w:t xml:space="preserve"> (IOI), včetně rozboru jeho složek. </w:t>
      </w:r>
    </w:p>
    <w:p w:rsidR="00346FB6" w:rsidRPr="00FD5929" w:rsidRDefault="00346FB6" w:rsidP="00346FB6">
      <w:pPr>
        <w:pStyle w:val="Odstavecseseznamem"/>
        <w:spacing w:after="120"/>
        <w:jc w:val="both"/>
        <w:rPr>
          <w:rFonts w:ascii="Arial" w:hAnsi="Arial" w:cs="Arial"/>
          <w:sz w:val="22"/>
          <w:szCs w:val="22"/>
        </w:rPr>
      </w:pPr>
    </w:p>
    <w:p w:rsidR="000F58D1" w:rsidRDefault="005E31A9" w:rsidP="009B0875">
      <w:pPr>
        <w:pStyle w:val="Odstavecseseznamem"/>
        <w:spacing w:after="120"/>
        <w:ind w:left="0"/>
        <w:jc w:val="both"/>
        <w:rPr>
          <w:rFonts w:ascii="Arial" w:hAnsi="Arial" w:cs="Arial"/>
          <w:sz w:val="22"/>
          <w:szCs w:val="22"/>
        </w:rPr>
      </w:pPr>
      <w:r w:rsidRPr="00FD5929">
        <w:rPr>
          <w:rFonts w:ascii="Arial" w:hAnsi="Arial" w:cs="Arial"/>
          <w:sz w:val="22"/>
          <w:szCs w:val="22"/>
        </w:rPr>
        <w:t xml:space="preserve">Kapitola </w:t>
      </w:r>
      <w:r w:rsidR="002E1241" w:rsidRPr="00FD5929">
        <w:rPr>
          <w:rFonts w:ascii="Arial" w:hAnsi="Arial" w:cs="Arial"/>
          <w:b/>
          <w:sz w:val="22"/>
          <w:szCs w:val="22"/>
        </w:rPr>
        <w:t xml:space="preserve">Odvětví národního hospodářství ve vazbě na </w:t>
      </w:r>
      <w:proofErr w:type="spellStart"/>
      <w:r w:rsidR="002E1241" w:rsidRPr="00FD5929">
        <w:rPr>
          <w:rFonts w:ascii="Arial" w:hAnsi="Arial" w:cs="Arial"/>
          <w:b/>
          <w:sz w:val="22"/>
          <w:szCs w:val="22"/>
        </w:rPr>
        <w:t>VaVaI</w:t>
      </w:r>
      <w:proofErr w:type="spellEnd"/>
      <w:r w:rsidR="000F58D1">
        <w:rPr>
          <w:rFonts w:ascii="Arial" w:hAnsi="Arial" w:cs="Arial"/>
          <w:b/>
          <w:sz w:val="22"/>
          <w:szCs w:val="22"/>
        </w:rPr>
        <w:t xml:space="preserve">. </w:t>
      </w:r>
      <w:r w:rsidR="00346FB6" w:rsidRPr="00FD5929">
        <w:rPr>
          <w:rFonts w:ascii="Arial" w:hAnsi="Arial" w:cs="Arial"/>
          <w:b/>
          <w:sz w:val="22"/>
          <w:szCs w:val="22"/>
        </w:rPr>
        <w:t xml:space="preserve">ČR Kapitola </w:t>
      </w:r>
      <w:r w:rsidR="00405D64" w:rsidRPr="00FD5929">
        <w:rPr>
          <w:rFonts w:ascii="Arial" w:hAnsi="Arial" w:cs="Arial"/>
          <w:sz w:val="22"/>
          <w:szCs w:val="22"/>
        </w:rPr>
        <w:t xml:space="preserve">je zaměřena na odvětvové hledisko členění </w:t>
      </w:r>
      <w:r w:rsidR="00110767" w:rsidRPr="00FD5929">
        <w:rPr>
          <w:rFonts w:ascii="Arial" w:hAnsi="Arial" w:cs="Arial"/>
          <w:sz w:val="22"/>
          <w:szCs w:val="22"/>
        </w:rPr>
        <w:t>tvůrců i uživatelů výsledků</w:t>
      </w:r>
      <w:r w:rsidR="00405D64" w:rsidRPr="00FD5929">
        <w:rPr>
          <w:rFonts w:ascii="Arial" w:hAnsi="Arial" w:cs="Arial"/>
          <w:sz w:val="22"/>
          <w:szCs w:val="22"/>
        </w:rPr>
        <w:t xml:space="preserve"> </w:t>
      </w:r>
      <w:r w:rsidR="00110767" w:rsidRPr="00FD5929">
        <w:rPr>
          <w:rFonts w:ascii="Arial" w:hAnsi="Arial" w:cs="Arial"/>
          <w:sz w:val="22"/>
          <w:szCs w:val="22"/>
        </w:rPr>
        <w:t xml:space="preserve">výzkumu a vývoje </w:t>
      </w:r>
      <w:r w:rsidR="00405D64" w:rsidRPr="00FD5929">
        <w:rPr>
          <w:rFonts w:ascii="Arial" w:hAnsi="Arial" w:cs="Arial"/>
          <w:sz w:val="22"/>
          <w:szCs w:val="22"/>
        </w:rPr>
        <w:t>a</w:t>
      </w:r>
      <w:r w:rsidR="000F58D1">
        <w:rPr>
          <w:rFonts w:ascii="Arial" w:hAnsi="Arial" w:cs="Arial"/>
          <w:sz w:val="22"/>
          <w:szCs w:val="22"/>
        </w:rPr>
        <w:t> </w:t>
      </w:r>
      <w:r w:rsidR="00405D64" w:rsidRPr="00FD5929">
        <w:rPr>
          <w:rFonts w:ascii="Arial" w:hAnsi="Arial" w:cs="Arial"/>
          <w:sz w:val="22"/>
          <w:szCs w:val="22"/>
        </w:rPr>
        <w:t xml:space="preserve">obsahuje informaci o tzv. sektorových platformách, které byly ustaveny v koordinaci Sekce pro vědu, výzkum a inovace Úřadu vlády ČR. </w:t>
      </w:r>
    </w:p>
    <w:p w:rsidR="00565CA0" w:rsidRDefault="00565CA0" w:rsidP="001E1F03">
      <w:pPr>
        <w:pStyle w:val="Odstavecseseznamem"/>
        <w:spacing w:after="120"/>
        <w:ind w:left="360"/>
        <w:jc w:val="both"/>
        <w:rPr>
          <w:rFonts w:ascii="Arial" w:hAnsi="Arial" w:cs="Arial"/>
          <w:sz w:val="22"/>
          <w:szCs w:val="22"/>
        </w:rPr>
      </w:pPr>
      <w:r w:rsidRPr="00FD5929">
        <w:rPr>
          <w:rFonts w:ascii="Arial" w:hAnsi="Arial" w:cs="Arial"/>
          <w:sz w:val="22"/>
          <w:szCs w:val="22"/>
        </w:rPr>
        <w:t>Obsahuje především:</w:t>
      </w:r>
    </w:p>
    <w:p w:rsidR="009B0875" w:rsidRPr="00FD5929" w:rsidRDefault="009B0875" w:rsidP="001E1F03">
      <w:pPr>
        <w:pStyle w:val="Odstavecseseznamem"/>
        <w:spacing w:after="120"/>
        <w:ind w:left="360"/>
        <w:jc w:val="both"/>
        <w:rPr>
          <w:rFonts w:ascii="Arial" w:hAnsi="Arial" w:cs="Arial"/>
          <w:sz w:val="22"/>
          <w:szCs w:val="22"/>
        </w:rPr>
      </w:pPr>
    </w:p>
    <w:p w:rsidR="005A7C0C" w:rsidRDefault="00565CA0" w:rsidP="005A7C0C">
      <w:pPr>
        <w:pStyle w:val="Odstavecseseznamem"/>
        <w:numPr>
          <w:ilvl w:val="0"/>
          <w:numId w:val="5"/>
        </w:numPr>
        <w:spacing w:after="120"/>
        <w:jc w:val="both"/>
        <w:rPr>
          <w:rFonts w:ascii="Arial" w:hAnsi="Arial" w:cs="Arial"/>
          <w:sz w:val="22"/>
          <w:szCs w:val="22"/>
        </w:rPr>
      </w:pPr>
      <w:r w:rsidRPr="00FD5929">
        <w:rPr>
          <w:rFonts w:ascii="Arial" w:hAnsi="Arial" w:cs="Arial"/>
          <w:sz w:val="22"/>
          <w:szCs w:val="22"/>
        </w:rPr>
        <w:t xml:space="preserve">Charakteristiku odvětví (podle Klasifikace ekonomických činností NACE) na základě příspěvku k HDP a </w:t>
      </w:r>
      <w:r w:rsidR="007B1FF4" w:rsidRPr="00FD5929">
        <w:rPr>
          <w:rFonts w:ascii="Arial" w:hAnsi="Arial" w:cs="Arial"/>
          <w:sz w:val="22"/>
          <w:szCs w:val="22"/>
        </w:rPr>
        <w:t>intenzity</w:t>
      </w:r>
      <w:r w:rsidRPr="00FD5929">
        <w:rPr>
          <w:rFonts w:ascii="Arial" w:hAnsi="Arial" w:cs="Arial"/>
          <w:sz w:val="22"/>
          <w:szCs w:val="22"/>
        </w:rPr>
        <w:t xml:space="preserve"> </w:t>
      </w:r>
      <w:r w:rsidR="007B1FF4" w:rsidRPr="00FD5929">
        <w:rPr>
          <w:rFonts w:ascii="Arial" w:hAnsi="Arial" w:cs="Arial"/>
          <w:sz w:val="22"/>
          <w:szCs w:val="22"/>
        </w:rPr>
        <w:t>výzkumu a vývoje</w:t>
      </w:r>
      <w:r w:rsidRPr="00FD5929">
        <w:rPr>
          <w:rFonts w:ascii="Arial" w:hAnsi="Arial" w:cs="Arial"/>
          <w:sz w:val="22"/>
          <w:szCs w:val="22"/>
        </w:rPr>
        <w:t xml:space="preserve"> měřeného vynaloženými finančními prostředky (BERD). </w:t>
      </w:r>
    </w:p>
    <w:p w:rsidR="009B0875" w:rsidRPr="009B0875" w:rsidRDefault="009B0875" w:rsidP="009B0875">
      <w:pPr>
        <w:pStyle w:val="Odstavecseseznamem"/>
        <w:spacing w:after="120"/>
        <w:jc w:val="both"/>
        <w:rPr>
          <w:rFonts w:ascii="Arial" w:hAnsi="Arial" w:cs="Arial"/>
          <w:sz w:val="16"/>
          <w:szCs w:val="16"/>
        </w:rPr>
      </w:pPr>
    </w:p>
    <w:p w:rsidR="00565CA0" w:rsidRDefault="005A7C0C" w:rsidP="005A7C0C">
      <w:pPr>
        <w:pStyle w:val="Odstavecseseznamem"/>
        <w:numPr>
          <w:ilvl w:val="0"/>
          <w:numId w:val="5"/>
        </w:numPr>
        <w:spacing w:after="120"/>
        <w:jc w:val="both"/>
        <w:rPr>
          <w:rFonts w:ascii="Arial" w:hAnsi="Arial" w:cs="Arial"/>
          <w:sz w:val="22"/>
          <w:szCs w:val="22"/>
        </w:rPr>
      </w:pPr>
      <w:r w:rsidRPr="00FD5929">
        <w:rPr>
          <w:rFonts w:ascii="Arial" w:hAnsi="Arial" w:cs="Arial"/>
          <w:sz w:val="22"/>
          <w:szCs w:val="22"/>
        </w:rPr>
        <w:t xml:space="preserve">Informaci o 10 tzv. sektorových platformách, které sestavil </w:t>
      </w:r>
      <w:r w:rsidR="00565CA0" w:rsidRPr="00FD5929">
        <w:rPr>
          <w:rFonts w:ascii="Arial" w:hAnsi="Arial" w:cs="Arial"/>
          <w:sz w:val="22"/>
          <w:szCs w:val="22"/>
        </w:rPr>
        <w:t xml:space="preserve">Úřad vlády – Sekce VVI </w:t>
      </w:r>
      <w:r w:rsidRPr="00FD5929">
        <w:rPr>
          <w:rFonts w:ascii="Arial" w:hAnsi="Arial" w:cs="Arial"/>
          <w:sz w:val="22"/>
          <w:szCs w:val="22"/>
        </w:rPr>
        <w:t>za</w:t>
      </w:r>
      <w:r w:rsidR="00CC7835">
        <w:rPr>
          <w:rFonts w:ascii="Arial" w:hAnsi="Arial" w:cs="Arial"/>
          <w:sz w:val="22"/>
          <w:szCs w:val="22"/>
        </w:rPr>
        <w:t> </w:t>
      </w:r>
      <w:r w:rsidRPr="00FD5929">
        <w:rPr>
          <w:rFonts w:ascii="Arial" w:hAnsi="Arial" w:cs="Arial"/>
          <w:sz w:val="22"/>
          <w:szCs w:val="22"/>
        </w:rPr>
        <w:t>účelem</w:t>
      </w:r>
      <w:r w:rsidR="00565CA0" w:rsidRPr="00FD5929">
        <w:rPr>
          <w:rFonts w:ascii="Arial" w:hAnsi="Arial" w:cs="Arial"/>
          <w:sz w:val="22"/>
          <w:szCs w:val="22"/>
        </w:rPr>
        <w:t xml:space="preserve"> zjišťování sektorových priorit a trendů směřování jednotlivých odvětví při</w:t>
      </w:r>
      <w:r w:rsidR="00CC7835">
        <w:rPr>
          <w:rFonts w:ascii="Arial" w:hAnsi="Arial" w:cs="Arial"/>
          <w:sz w:val="22"/>
          <w:szCs w:val="22"/>
        </w:rPr>
        <w:t> </w:t>
      </w:r>
      <w:r w:rsidR="00565CA0" w:rsidRPr="00FD5929">
        <w:rPr>
          <w:rFonts w:ascii="Arial" w:hAnsi="Arial" w:cs="Arial"/>
          <w:sz w:val="22"/>
          <w:szCs w:val="22"/>
        </w:rPr>
        <w:t xml:space="preserve">zohlednění výdajů na </w:t>
      </w:r>
      <w:proofErr w:type="spellStart"/>
      <w:r w:rsidR="00565CA0" w:rsidRPr="00FD5929">
        <w:rPr>
          <w:rFonts w:ascii="Arial" w:hAnsi="Arial" w:cs="Arial"/>
          <w:sz w:val="22"/>
          <w:szCs w:val="22"/>
        </w:rPr>
        <w:t>VaV</w:t>
      </w:r>
      <w:proofErr w:type="spellEnd"/>
      <w:r w:rsidR="00565CA0" w:rsidRPr="00FD5929">
        <w:rPr>
          <w:rFonts w:ascii="Arial" w:hAnsi="Arial" w:cs="Arial"/>
          <w:sz w:val="22"/>
          <w:szCs w:val="22"/>
        </w:rPr>
        <w:t xml:space="preserve"> v odvětvích podnikatelského sektoru</w:t>
      </w:r>
      <w:r w:rsidR="00D51113" w:rsidRPr="00FD5929">
        <w:rPr>
          <w:rFonts w:ascii="Arial" w:hAnsi="Arial" w:cs="Arial"/>
          <w:sz w:val="22"/>
          <w:szCs w:val="22"/>
        </w:rPr>
        <w:t>,</w:t>
      </w:r>
      <w:r w:rsidR="00565CA0" w:rsidRPr="00FD5929">
        <w:rPr>
          <w:rFonts w:ascii="Arial" w:hAnsi="Arial" w:cs="Arial"/>
          <w:sz w:val="22"/>
          <w:szCs w:val="22"/>
        </w:rPr>
        <w:t xml:space="preserve"> strategických vazeb a využívání nejnovějších technologií.</w:t>
      </w:r>
    </w:p>
    <w:p w:rsidR="009B0875" w:rsidRPr="009B0875" w:rsidRDefault="009B0875" w:rsidP="009B0875">
      <w:pPr>
        <w:pStyle w:val="Odstavecseseznamem"/>
        <w:rPr>
          <w:rFonts w:ascii="Arial" w:hAnsi="Arial" w:cs="Arial"/>
          <w:sz w:val="16"/>
          <w:szCs w:val="16"/>
        </w:rPr>
      </w:pPr>
    </w:p>
    <w:p w:rsidR="005E31A9" w:rsidRDefault="002D7761" w:rsidP="005A7C0C">
      <w:pPr>
        <w:pStyle w:val="Odstavecseseznamem"/>
        <w:numPr>
          <w:ilvl w:val="0"/>
          <w:numId w:val="5"/>
        </w:numPr>
        <w:spacing w:after="120"/>
        <w:jc w:val="both"/>
        <w:rPr>
          <w:rFonts w:ascii="Arial" w:hAnsi="Arial" w:cs="Arial"/>
          <w:sz w:val="22"/>
          <w:szCs w:val="22"/>
        </w:rPr>
      </w:pPr>
      <w:r w:rsidRPr="00FD5929">
        <w:rPr>
          <w:rFonts w:ascii="Arial" w:hAnsi="Arial" w:cs="Arial"/>
          <w:sz w:val="22"/>
          <w:szCs w:val="22"/>
        </w:rPr>
        <w:t>Výstupy z diskusí v rámci sektorových platforem v podobě klíčových výzkumných a</w:t>
      </w:r>
      <w:r w:rsidR="000F58D1">
        <w:rPr>
          <w:rFonts w:ascii="Arial" w:hAnsi="Arial" w:cs="Arial"/>
          <w:sz w:val="22"/>
          <w:szCs w:val="22"/>
        </w:rPr>
        <w:t> </w:t>
      </w:r>
      <w:r w:rsidRPr="00FD5929">
        <w:rPr>
          <w:rFonts w:ascii="Arial" w:hAnsi="Arial" w:cs="Arial"/>
          <w:sz w:val="22"/>
          <w:szCs w:val="22"/>
        </w:rPr>
        <w:t>vývojových témat.</w:t>
      </w:r>
    </w:p>
    <w:p w:rsidR="000F58D1" w:rsidRPr="00FD5929" w:rsidRDefault="000F58D1" w:rsidP="000F58D1">
      <w:pPr>
        <w:pStyle w:val="Odstavecseseznamem"/>
        <w:spacing w:after="120"/>
        <w:jc w:val="both"/>
        <w:rPr>
          <w:rFonts w:ascii="Arial" w:hAnsi="Arial" w:cs="Arial"/>
          <w:sz w:val="22"/>
          <w:szCs w:val="22"/>
        </w:rPr>
      </w:pPr>
    </w:p>
    <w:p w:rsidR="00D962CC" w:rsidRDefault="002311FD" w:rsidP="000F58D1">
      <w:pPr>
        <w:pStyle w:val="Odstavecseseznamem"/>
        <w:spacing w:before="120" w:after="120"/>
        <w:ind w:left="0"/>
        <w:jc w:val="both"/>
        <w:rPr>
          <w:rFonts w:ascii="Arial" w:hAnsi="Arial" w:cs="Arial"/>
          <w:b/>
          <w:sz w:val="22"/>
          <w:szCs w:val="22"/>
        </w:rPr>
      </w:pPr>
      <w:r>
        <w:rPr>
          <w:rFonts w:ascii="Arial" w:hAnsi="Arial" w:cs="Arial"/>
          <w:b/>
          <w:sz w:val="22"/>
          <w:szCs w:val="22"/>
        </w:rPr>
        <w:t>Přiložené</w:t>
      </w:r>
      <w:r w:rsidRPr="00FD5929">
        <w:rPr>
          <w:rFonts w:ascii="Arial" w:hAnsi="Arial" w:cs="Arial"/>
          <w:b/>
          <w:sz w:val="22"/>
          <w:szCs w:val="22"/>
        </w:rPr>
        <w:t xml:space="preserve"> návrhy výzkumných témat budou úvodním pilotním vzorkem pro přípravu nových principů aplikovaného výzkumu s cílem větší stimulace soukromých výdajů pro financování potřeb konkurenceschopné</w:t>
      </w:r>
      <w:r>
        <w:rPr>
          <w:rFonts w:ascii="Arial" w:hAnsi="Arial" w:cs="Arial"/>
          <w:b/>
          <w:sz w:val="22"/>
          <w:szCs w:val="22"/>
        </w:rPr>
        <w:t xml:space="preserve"> ekonomiky založené na znalostech.</w:t>
      </w:r>
    </w:p>
    <w:p w:rsidR="00FD5929" w:rsidRPr="00FD5929" w:rsidRDefault="00D962CC" w:rsidP="002311FD">
      <w:pPr>
        <w:pStyle w:val="Odstavecseseznamem"/>
        <w:spacing w:after="120"/>
        <w:ind w:left="360"/>
        <w:jc w:val="both"/>
        <w:rPr>
          <w:rFonts w:ascii="Arial" w:hAnsi="Arial" w:cs="Arial"/>
          <w:b/>
          <w:sz w:val="22"/>
          <w:szCs w:val="22"/>
          <w:u w:val="single"/>
        </w:rPr>
      </w:pPr>
      <w:r w:rsidRPr="00FD5929">
        <w:rPr>
          <w:rFonts w:ascii="Arial" w:hAnsi="Arial" w:cs="Arial"/>
          <w:b/>
          <w:sz w:val="22"/>
          <w:szCs w:val="22"/>
        </w:rPr>
        <w:t xml:space="preserve">Kapitola </w:t>
      </w:r>
      <w:r w:rsidR="002311FD">
        <w:rPr>
          <w:rFonts w:ascii="Arial" w:hAnsi="Arial" w:cs="Arial"/>
          <w:b/>
          <w:sz w:val="22"/>
          <w:szCs w:val="22"/>
        </w:rPr>
        <w:t xml:space="preserve">Datové zdroje ve </w:t>
      </w:r>
      <w:proofErr w:type="spellStart"/>
      <w:r w:rsidR="002311FD">
        <w:rPr>
          <w:rFonts w:ascii="Arial" w:hAnsi="Arial" w:cs="Arial"/>
          <w:b/>
          <w:sz w:val="22"/>
          <w:szCs w:val="22"/>
        </w:rPr>
        <w:t>VaVaI</w:t>
      </w:r>
      <w:proofErr w:type="spellEnd"/>
      <w:r w:rsidR="002311FD">
        <w:rPr>
          <w:rFonts w:ascii="Arial" w:hAnsi="Arial" w:cs="Arial"/>
          <w:b/>
          <w:sz w:val="22"/>
          <w:szCs w:val="22"/>
        </w:rPr>
        <w:t xml:space="preserve"> </w:t>
      </w:r>
      <w:r w:rsidRPr="00FD5929">
        <w:rPr>
          <w:rFonts w:ascii="Arial" w:hAnsi="Arial" w:cs="Arial"/>
          <w:b/>
          <w:sz w:val="22"/>
          <w:szCs w:val="22"/>
        </w:rPr>
        <w:t xml:space="preserve">přehledně </w:t>
      </w:r>
      <w:r w:rsidR="002311FD" w:rsidRPr="00FD5929">
        <w:rPr>
          <w:rFonts w:ascii="Arial" w:hAnsi="Arial" w:cs="Arial"/>
          <w:b/>
          <w:sz w:val="22"/>
          <w:szCs w:val="22"/>
        </w:rPr>
        <w:t xml:space="preserve">popisuje </w:t>
      </w:r>
      <w:r w:rsidR="000C7D5B" w:rsidRPr="00FD5929">
        <w:rPr>
          <w:rFonts w:ascii="Arial" w:hAnsi="Arial" w:cs="Arial"/>
          <w:b/>
          <w:sz w:val="22"/>
          <w:szCs w:val="22"/>
        </w:rPr>
        <w:t>zdroje</w:t>
      </w:r>
      <w:r w:rsidR="002311FD">
        <w:rPr>
          <w:rFonts w:ascii="Arial" w:hAnsi="Arial" w:cs="Arial"/>
          <w:b/>
          <w:sz w:val="22"/>
          <w:szCs w:val="22"/>
        </w:rPr>
        <w:t xml:space="preserve"> informací</w:t>
      </w:r>
      <w:r w:rsidR="000C7D5B" w:rsidRPr="00FD5929">
        <w:rPr>
          <w:rFonts w:ascii="Arial" w:hAnsi="Arial" w:cs="Arial"/>
          <w:b/>
          <w:sz w:val="22"/>
          <w:szCs w:val="22"/>
        </w:rPr>
        <w:t>, které byly</w:t>
      </w:r>
      <w:r w:rsidR="00FD5929" w:rsidRPr="00FD5929">
        <w:rPr>
          <w:rFonts w:ascii="Arial" w:hAnsi="Arial" w:cs="Arial"/>
          <w:b/>
          <w:sz w:val="22"/>
          <w:szCs w:val="22"/>
        </w:rPr>
        <w:t xml:space="preserve"> při</w:t>
      </w:r>
      <w:r w:rsidR="00CC7835">
        <w:rPr>
          <w:rFonts w:ascii="Arial" w:hAnsi="Arial" w:cs="Arial"/>
          <w:b/>
          <w:sz w:val="22"/>
          <w:szCs w:val="22"/>
        </w:rPr>
        <w:t> </w:t>
      </w:r>
      <w:r w:rsidR="00FD5929" w:rsidRPr="00FD5929">
        <w:rPr>
          <w:rFonts w:ascii="Arial" w:hAnsi="Arial" w:cs="Arial"/>
          <w:b/>
          <w:sz w:val="22"/>
          <w:szCs w:val="22"/>
        </w:rPr>
        <w:t xml:space="preserve">zpracování analýzy </w:t>
      </w:r>
      <w:proofErr w:type="gramStart"/>
      <w:r w:rsidR="00FD5929" w:rsidRPr="00FD5929">
        <w:rPr>
          <w:rFonts w:ascii="Arial" w:hAnsi="Arial" w:cs="Arial"/>
          <w:b/>
          <w:sz w:val="22"/>
          <w:szCs w:val="22"/>
        </w:rPr>
        <w:t>využity</w:t>
      </w:r>
      <w:r w:rsidR="002311FD">
        <w:rPr>
          <w:rFonts w:ascii="Arial" w:hAnsi="Arial" w:cs="Arial"/>
          <w:b/>
          <w:sz w:val="22"/>
          <w:szCs w:val="22"/>
        </w:rPr>
        <w:t xml:space="preserve"> a poukazuje</w:t>
      </w:r>
      <w:proofErr w:type="gramEnd"/>
      <w:r w:rsidR="002311FD">
        <w:rPr>
          <w:rFonts w:ascii="Arial" w:hAnsi="Arial" w:cs="Arial"/>
          <w:b/>
          <w:sz w:val="22"/>
          <w:szCs w:val="22"/>
        </w:rPr>
        <w:t xml:space="preserve"> na některé nedostatky v datové základně.</w:t>
      </w:r>
    </w:p>
    <w:p w:rsidR="00FD5929" w:rsidRPr="00FD5929" w:rsidRDefault="00FD5929" w:rsidP="00FD5929">
      <w:pPr>
        <w:pStyle w:val="Odstavecseseznamem"/>
        <w:spacing w:after="120"/>
        <w:ind w:left="360"/>
        <w:jc w:val="both"/>
        <w:rPr>
          <w:rFonts w:ascii="Arial" w:hAnsi="Arial" w:cs="Arial"/>
          <w:b/>
          <w:sz w:val="22"/>
          <w:szCs w:val="22"/>
          <w:u w:val="single"/>
        </w:rPr>
      </w:pPr>
    </w:p>
    <w:p w:rsidR="00FD5929" w:rsidRPr="00FD5929" w:rsidRDefault="00FD5929" w:rsidP="00FD5929">
      <w:pPr>
        <w:pStyle w:val="Odstavecseseznamem"/>
        <w:spacing w:after="120"/>
        <w:ind w:left="360"/>
        <w:jc w:val="both"/>
        <w:rPr>
          <w:rFonts w:ascii="Arial" w:hAnsi="Arial" w:cs="Arial"/>
          <w:b/>
        </w:rPr>
      </w:pPr>
    </w:p>
    <w:p w:rsidR="00346FB6" w:rsidRPr="00FD5929" w:rsidRDefault="00FD5929" w:rsidP="00FD5929">
      <w:pPr>
        <w:pStyle w:val="Odstavecseseznamem"/>
        <w:spacing w:after="120"/>
        <w:ind w:left="360"/>
        <w:jc w:val="both"/>
        <w:rPr>
          <w:rFonts w:ascii="Arial" w:hAnsi="Arial" w:cs="Arial"/>
          <w:b/>
          <w:u w:val="single"/>
        </w:rPr>
      </w:pPr>
      <w:r w:rsidRPr="00FD5929">
        <w:rPr>
          <w:rFonts w:ascii="Arial" w:hAnsi="Arial" w:cs="Arial"/>
          <w:b/>
          <w:u w:val="single"/>
        </w:rPr>
        <w:t xml:space="preserve">3 </w:t>
      </w:r>
      <w:r w:rsidR="00346FB6" w:rsidRPr="00FD5929">
        <w:rPr>
          <w:rFonts w:ascii="Arial" w:hAnsi="Arial" w:cs="Arial"/>
          <w:b/>
          <w:u w:val="single"/>
        </w:rPr>
        <w:t>Návrh dalšího postu</w:t>
      </w:r>
      <w:r>
        <w:rPr>
          <w:rFonts w:ascii="Arial" w:hAnsi="Arial" w:cs="Arial"/>
          <w:b/>
          <w:u w:val="single"/>
        </w:rPr>
        <w:t>p</w:t>
      </w:r>
      <w:r w:rsidR="00346FB6" w:rsidRPr="00FD5929">
        <w:rPr>
          <w:rFonts w:ascii="Arial" w:hAnsi="Arial" w:cs="Arial"/>
          <w:b/>
          <w:u w:val="single"/>
        </w:rPr>
        <w:t xml:space="preserve">u </w:t>
      </w:r>
    </w:p>
    <w:p w:rsidR="00346FB6" w:rsidRPr="00FD5929" w:rsidRDefault="00346FB6" w:rsidP="00B861F5">
      <w:pPr>
        <w:spacing w:after="120"/>
        <w:jc w:val="both"/>
        <w:rPr>
          <w:rFonts w:ascii="Arial" w:hAnsi="Arial" w:cs="Arial"/>
          <w:b/>
          <w:sz w:val="22"/>
          <w:szCs w:val="22"/>
        </w:rPr>
      </w:pPr>
    </w:p>
    <w:p w:rsidR="00B861F5" w:rsidRPr="00FD5929" w:rsidRDefault="00B861F5" w:rsidP="00B861F5">
      <w:pPr>
        <w:spacing w:after="120"/>
        <w:jc w:val="both"/>
        <w:rPr>
          <w:rFonts w:ascii="Arial" w:hAnsi="Arial" w:cs="Arial"/>
          <w:b/>
          <w:sz w:val="22"/>
          <w:szCs w:val="22"/>
        </w:rPr>
      </w:pPr>
      <w:r w:rsidRPr="00FD5929">
        <w:rPr>
          <w:rFonts w:ascii="Arial" w:hAnsi="Arial" w:cs="Arial"/>
          <w:b/>
          <w:sz w:val="22"/>
          <w:szCs w:val="22"/>
        </w:rPr>
        <w:t>Racionalizace programové podpory aplikovaného výzkumu a sektorové zacílení</w:t>
      </w:r>
      <w:r w:rsidR="000C7D5B" w:rsidRPr="00FD5929">
        <w:rPr>
          <w:rFonts w:ascii="Arial" w:hAnsi="Arial" w:cs="Arial"/>
          <w:b/>
          <w:sz w:val="22"/>
          <w:szCs w:val="22"/>
        </w:rPr>
        <w:t xml:space="preserve"> (vazba na </w:t>
      </w:r>
      <w:proofErr w:type="spellStart"/>
      <w:r w:rsidR="000C7D5B" w:rsidRPr="00FD5929">
        <w:rPr>
          <w:rFonts w:ascii="Arial" w:hAnsi="Arial" w:cs="Arial"/>
          <w:b/>
          <w:sz w:val="22"/>
          <w:szCs w:val="22"/>
        </w:rPr>
        <w:t>usn</w:t>
      </w:r>
      <w:proofErr w:type="spellEnd"/>
      <w:r w:rsidR="000C7D5B" w:rsidRPr="00FD5929">
        <w:rPr>
          <w:rFonts w:ascii="Arial" w:hAnsi="Arial" w:cs="Arial"/>
          <w:b/>
          <w:sz w:val="22"/>
          <w:szCs w:val="22"/>
        </w:rPr>
        <w:t xml:space="preserve">. </w:t>
      </w:r>
      <w:proofErr w:type="spellStart"/>
      <w:r w:rsidR="000C7D5B" w:rsidRPr="00FD5929">
        <w:rPr>
          <w:rFonts w:ascii="Arial" w:hAnsi="Arial" w:cs="Arial"/>
          <w:b/>
          <w:sz w:val="22"/>
          <w:szCs w:val="22"/>
        </w:rPr>
        <w:t>vl</w:t>
      </w:r>
      <w:proofErr w:type="spellEnd"/>
      <w:r w:rsidR="000C7D5B" w:rsidRPr="00FD5929">
        <w:rPr>
          <w:rFonts w:ascii="Arial" w:hAnsi="Arial" w:cs="Arial"/>
          <w:b/>
          <w:sz w:val="22"/>
          <w:szCs w:val="22"/>
        </w:rPr>
        <w:t>. č. 380 ze dne 25.</w:t>
      </w:r>
      <w:r w:rsidR="002311FD">
        <w:rPr>
          <w:rFonts w:ascii="Arial" w:hAnsi="Arial" w:cs="Arial"/>
          <w:b/>
          <w:sz w:val="22"/>
          <w:szCs w:val="22"/>
        </w:rPr>
        <w:t xml:space="preserve"> </w:t>
      </w:r>
      <w:r w:rsidR="000C7D5B" w:rsidRPr="00FD5929">
        <w:rPr>
          <w:rFonts w:ascii="Arial" w:hAnsi="Arial" w:cs="Arial"/>
          <w:b/>
          <w:sz w:val="22"/>
          <w:szCs w:val="22"/>
        </w:rPr>
        <w:t>5.</w:t>
      </w:r>
      <w:r w:rsidR="002311FD">
        <w:rPr>
          <w:rFonts w:ascii="Arial" w:hAnsi="Arial" w:cs="Arial"/>
          <w:b/>
          <w:sz w:val="22"/>
          <w:szCs w:val="22"/>
        </w:rPr>
        <w:t xml:space="preserve"> </w:t>
      </w:r>
      <w:r w:rsidR="000C7D5B" w:rsidRPr="00FD5929">
        <w:rPr>
          <w:rFonts w:ascii="Arial" w:hAnsi="Arial" w:cs="Arial"/>
          <w:b/>
          <w:sz w:val="22"/>
          <w:szCs w:val="22"/>
        </w:rPr>
        <w:t>2015)</w:t>
      </w:r>
    </w:p>
    <w:p w:rsidR="00D962CC" w:rsidRPr="00FD5929" w:rsidRDefault="00D962CC" w:rsidP="00D962CC">
      <w:pPr>
        <w:pStyle w:val="Odstavecseseznamem"/>
        <w:spacing w:after="120"/>
        <w:jc w:val="both"/>
        <w:rPr>
          <w:rFonts w:ascii="Arial" w:hAnsi="Arial" w:cs="Arial"/>
          <w:sz w:val="22"/>
          <w:szCs w:val="22"/>
        </w:rPr>
      </w:pPr>
    </w:p>
    <w:p w:rsidR="000C7D5B" w:rsidRPr="00FD5929" w:rsidRDefault="00D962CC" w:rsidP="00D962CC">
      <w:pPr>
        <w:pStyle w:val="Odstavecseseznamem"/>
        <w:numPr>
          <w:ilvl w:val="0"/>
          <w:numId w:val="19"/>
        </w:numPr>
        <w:spacing w:after="120"/>
        <w:jc w:val="both"/>
        <w:rPr>
          <w:rFonts w:ascii="Arial" w:hAnsi="Arial" w:cs="Arial"/>
          <w:sz w:val="22"/>
          <w:szCs w:val="22"/>
        </w:rPr>
      </w:pPr>
      <w:r w:rsidRPr="00FD5929">
        <w:rPr>
          <w:rFonts w:ascii="Arial" w:hAnsi="Arial" w:cs="Arial"/>
          <w:sz w:val="22"/>
          <w:szCs w:val="22"/>
        </w:rPr>
        <w:t>Je třeba stimulovat koordinaci vynakládaných soukromých zdrojů s veřejnými tak, aby po ukončení financování z fondů EU bylo možno efektivně a cíleně využívat veřejných aktiv (lidé, infrastruktury a veřejné zdroje) pro zlepšování inovačního prostředí v ČR.</w:t>
      </w:r>
      <w:r w:rsidR="00FD5929" w:rsidRPr="00FD5929">
        <w:rPr>
          <w:rFonts w:ascii="Arial" w:hAnsi="Arial" w:cs="Arial"/>
          <w:sz w:val="22"/>
          <w:szCs w:val="22"/>
        </w:rPr>
        <w:t xml:space="preserve"> K tomu bude využit </w:t>
      </w:r>
      <w:r w:rsidR="00FD5929" w:rsidRPr="00FD5929">
        <w:rPr>
          <w:rFonts w:ascii="Arial" w:hAnsi="Arial" w:cs="Arial"/>
          <w:sz w:val="22"/>
          <w:szCs w:val="22"/>
          <w:u w:val="single"/>
        </w:rPr>
        <w:t>nový způsob řízení a hodnocení podpory aplikovaného výzkumu, s orientací na potřeby trhu</w:t>
      </w:r>
      <w:r w:rsidR="00FD5929" w:rsidRPr="00FD5929">
        <w:rPr>
          <w:rFonts w:ascii="Arial" w:hAnsi="Arial" w:cs="Arial"/>
          <w:sz w:val="22"/>
          <w:szCs w:val="22"/>
        </w:rPr>
        <w:t xml:space="preserve">, které je schematicky znázorněno ve schématu č. 1. </w:t>
      </w:r>
    </w:p>
    <w:p w:rsidR="00D962CC" w:rsidRPr="00FD5929" w:rsidRDefault="00D962CC" w:rsidP="000C7D5B">
      <w:pPr>
        <w:pStyle w:val="Odstavecseseznamem"/>
        <w:spacing w:after="120"/>
        <w:jc w:val="both"/>
        <w:rPr>
          <w:rFonts w:ascii="Arial" w:hAnsi="Arial" w:cs="Arial"/>
          <w:sz w:val="22"/>
          <w:szCs w:val="22"/>
        </w:rPr>
      </w:pPr>
    </w:p>
    <w:p w:rsidR="000C7D5B" w:rsidRPr="00FD5929" w:rsidRDefault="000C7D5B" w:rsidP="000C7D5B">
      <w:pPr>
        <w:pStyle w:val="Odstavecseseznamem"/>
        <w:numPr>
          <w:ilvl w:val="0"/>
          <w:numId w:val="19"/>
        </w:numPr>
        <w:spacing w:after="120"/>
        <w:jc w:val="both"/>
        <w:rPr>
          <w:rFonts w:ascii="Arial" w:hAnsi="Arial" w:cs="Arial"/>
          <w:sz w:val="22"/>
          <w:szCs w:val="22"/>
        </w:rPr>
      </w:pPr>
      <w:r w:rsidRPr="00FD5929">
        <w:rPr>
          <w:rFonts w:ascii="Arial" w:hAnsi="Arial" w:cs="Arial"/>
          <w:sz w:val="22"/>
          <w:szCs w:val="22"/>
        </w:rPr>
        <w:t>Je potřeba zajistit vzájemné nekonkurování si mezi programy podpory aplikovaného výzkumu financovanými z ESI fondů s finančními prostředky z národních či jiných zdrojů a z prostředků na financování rozvoje výzkumných organizací (dále jen „RVO“). To je základním principem racionalizace programové podpory aplikovaného výzkumu. V rámci této racionalizace je potřeba hledat existující prázdné a</w:t>
      </w:r>
      <w:r w:rsidR="000F58D1">
        <w:rPr>
          <w:rFonts w:ascii="Arial" w:hAnsi="Arial" w:cs="Arial"/>
          <w:sz w:val="22"/>
          <w:szCs w:val="22"/>
        </w:rPr>
        <w:t> </w:t>
      </w:r>
      <w:r w:rsidRPr="00FD5929">
        <w:rPr>
          <w:rFonts w:ascii="Arial" w:hAnsi="Arial" w:cs="Arial"/>
          <w:sz w:val="22"/>
          <w:szCs w:val="22"/>
        </w:rPr>
        <w:t xml:space="preserve">nepodporované aktivity či směřovat národní zdroje do nik vznikající lepším zaměřováním podpor z ESI fondů (tzv. </w:t>
      </w:r>
      <w:proofErr w:type="spellStart"/>
      <w:r w:rsidRPr="00FD5929">
        <w:rPr>
          <w:rFonts w:ascii="Arial" w:hAnsi="Arial" w:cs="Arial"/>
          <w:sz w:val="22"/>
          <w:szCs w:val="22"/>
        </w:rPr>
        <w:t>vertikalizací</w:t>
      </w:r>
      <w:proofErr w:type="spellEnd"/>
      <w:r w:rsidRPr="00FD5929">
        <w:rPr>
          <w:rFonts w:ascii="Arial" w:hAnsi="Arial" w:cs="Arial"/>
          <w:sz w:val="22"/>
          <w:szCs w:val="22"/>
        </w:rPr>
        <w:t>/specializací).</w:t>
      </w:r>
    </w:p>
    <w:p w:rsidR="00D962CC" w:rsidRPr="00FD5929" w:rsidRDefault="00D962CC" w:rsidP="00D962CC">
      <w:pPr>
        <w:pStyle w:val="Odstavecseseznamem"/>
        <w:spacing w:after="120"/>
        <w:jc w:val="both"/>
        <w:rPr>
          <w:rFonts w:ascii="Arial" w:hAnsi="Arial" w:cs="Arial"/>
          <w:sz w:val="22"/>
          <w:szCs w:val="22"/>
        </w:rPr>
      </w:pPr>
    </w:p>
    <w:p w:rsidR="00FD5929" w:rsidRPr="00FD5929" w:rsidRDefault="00B861F5" w:rsidP="00FD5929">
      <w:pPr>
        <w:pStyle w:val="Odstavecseseznamem"/>
        <w:numPr>
          <w:ilvl w:val="0"/>
          <w:numId w:val="19"/>
        </w:numPr>
        <w:spacing w:after="120"/>
        <w:jc w:val="both"/>
        <w:rPr>
          <w:rFonts w:ascii="Arial" w:hAnsi="Arial" w:cs="Arial"/>
          <w:sz w:val="22"/>
          <w:szCs w:val="22"/>
        </w:rPr>
      </w:pPr>
      <w:r w:rsidRPr="00FD5929">
        <w:rPr>
          <w:rFonts w:ascii="Arial" w:hAnsi="Arial" w:cs="Arial"/>
          <w:sz w:val="22"/>
          <w:szCs w:val="22"/>
        </w:rPr>
        <w:lastRenderedPageBreak/>
        <w:t xml:space="preserve">V této souvislosti je nezbytné vést konsolidovanou debatu mezi resorty (poskytovateli a </w:t>
      </w:r>
      <w:proofErr w:type="spellStart"/>
      <w:r w:rsidRPr="00FD5929">
        <w:rPr>
          <w:rFonts w:ascii="Arial" w:hAnsi="Arial" w:cs="Arial"/>
          <w:sz w:val="22"/>
          <w:szCs w:val="22"/>
        </w:rPr>
        <w:t>neposkytovateli</w:t>
      </w:r>
      <w:proofErr w:type="spellEnd"/>
      <w:r w:rsidRPr="00FD5929">
        <w:rPr>
          <w:rFonts w:ascii="Arial" w:hAnsi="Arial" w:cs="Arial"/>
          <w:sz w:val="22"/>
          <w:szCs w:val="22"/>
        </w:rPr>
        <w:t xml:space="preserve"> podpory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a Technologickou agenturou České republiky (dále jen „TA ČR“) za účasti RVVI v roli koordinátora, na téma koncentrace finančních zdrojů v oblasti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do jednotlivých sektorů ekonomiky. </w:t>
      </w:r>
      <w:proofErr w:type="spellStart"/>
      <w:r w:rsidR="00FD5929" w:rsidRPr="00FD5929">
        <w:rPr>
          <w:rFonts w:ascii="Arial" w:hAnsi="Arial" w:cs="Arial"/>
          <w:sz w:val="22"/>
          <w:szCs w:val="22"/>
        </w:rPr>
        <w:t>Vertikalizaci</w:t>
      </w:r>
      <w:proofErr w:type="spellEnd"/>
      <w:r w:rsidR="00FD5929" w:rsidRPr="00FD5929">
        <w:rPr>
          <w:rFonts w:ascii="Arial" w:hAnsi="Arial" w:cs="Arial"/>
          <w:sz w:val="22"/>
          <w:szCs w:val="22"/>
        </w:rPr>
        <w:t xml:space="preserve"> podpor je možno řešit na případných pilotních projektech.</w:t>
      </w:r>
    </w:p>
    <w:p w:rsidR="00D962CC" w:rsidRPr="00FD5929" w:rsidRDefault="00D962CC" w:rsidP="00D962CC">
      <w:pPr>
        <w:pStyle w:val="Odstavecseseznamem"/>
        <w:rPr>
          <w:rFonts w:ascii="Arial" w:hAnsi="Arial" w:cs="Arial"/>
          <w:sz w:val="22"/>
          <w:szCs w:val="22"/>
        </w:rPr>
      </w:pPr>
    </w:p>
    <w:p w:rsidR="00B861F5" w:rsidRPr="00FD5929" w:rsidRDefault="00B861F5" w:rsidP="00D962CC">
      <w:pPr>
        <w:pStyle w:val="Odstavecseseznamem"/>
        <w:numPr>
          <w:ilvl w:val="0"/>
          <w:numId w:val="19"/>
        </w:numPr>
        <w:spacing w:after="120"/>
        <w:jc w:val="both"/>
        <w:rPr>
          <w:rFonts w:ascii="Arial" w:hAnsi="Arial" w:cs="Arial"/>
          <w:sz w:val="22"/>
          <w:szCs w:val="22"/>
        </w:rPr>
      </w:pPr>
      <w:r w:rsidRPr="00FD5929">
        <w:rPr>
          <w:rFonts w:ascii="Arial" w:hAnsi="Arial" w:cs="Arial"/>
          <w:sz w:val="22"/>
          <w:szCs w:val="22"/>
        </w:rPr>
        <w:t xml:space="preserve">U probíhajících i nově připravovaných programů podpory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je potřeba diskutovat o jejich sektorovém zacílení, a to zejména ve vazbě na Národní priority orientovaného výzkumu, experimentálního vývoje a inovací, Aktualizovanou Národní politiku výzkumu, vývoje a inovací České republiky na léta 2009 až 2015 s výhledem do roku 2020, národní RIS 3, sektorové koncepční a strategické dokumenty v oblasti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w:t>
      </w:r>
    </w:p>
    <w:p w:rsidR="000C7D5B" w:rsidRPr="00FD5929" w:rsidRDefault="000C7D5B" w:rsidP="00B861F5">
      <w:pPr>
        <w:spacing w:after="120"/>
        <w:jc w:val="both"/>
        <w:rPr>
          <w:rFonts w:ascii="Arial" w:hAnsi="Arial" w:cs="Arial"/>
          <w:sz w:val="22"/>
          <w:szCs w:val="22"/>
        </w:rPr>
      </w:pPr>
    </w:p>
    <w:p w:rsidR="00796D4B" w:rsidRPr="00FD5929" w:rsidRDefault="00796D4B" w:rsidP="00796D4B">
      <w:pPr>
        <w:spacing w:after="120"/>
        <w:jc w:val="both"/>
        <w:rPr>
          <w:rFonts w:ascii="Arial" w:hAnsi="Arial" w:cs="Arial"/>
          <w:sz w:val="22"/>
          <w:szCs w:val="22"/>
        </w:rPr>
      </w:pPr>
      <w:r w:rsidRPr="00FD5929">
        <w:rPr>
          <w:rFonts w:ascii="Arial" w:hAnsi="Arial" w:cs="Arial"/>
          <w:sz w:val="22"/>
          <w:szCs w:val="22"/>
        </w:rPr>
        <w:t xml:space="preserve">Výše uvedené bude zohledněno při přípravě rozpočtu na rok 2017 s výhledem na roky 2018 a 2019. </w:t>
      </w:r>
    </w:p>
    <w:p w:rsidR="00796D4B" w:rsidRPr="00FD5929" w:rsidRDefault="00796D4B" w:rsidP="00796D4B">
      <w:pPr>
        <w:spacing w:after="120"/>
        <w:jc w:val="both"/>
        <w:rPr>
          <w:rFonts w:ascii="Arial" w:hAnsi="Arial" w:cs="Arial"/>
          <w:sz w:val="22"/>
          <w:szCs w:val="22"/>
        </w:rPr>
      </w:pPr>
      <w:r w:rsidRPr="00FD5929">
        <w:rPr>
          <w:rFonts w:ascii="Arial" w:hAnsi="Arial" w:cs="Arial"/>
          <w:sz w:val="22"/>
          <w:szCs w:val="22"/>
        </w:rPr>
        <w:t xml:space="preserve">Jedná se o kontinuální proces změn systému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 již při přípravě rozpočtu na rok 2016 byly řešeny věcné strategické otázky, které mají dopad na přípravu principů nového hodnocení aplikovaného výzkumu (viz. </w:t>
      </w:r>
      <w:proofErr w:type="spellStart"/>
      <w:r w:rsidRPr="00FD5929">
        <w:rPr>
          <w:rFonts w:ascii="Arial" w:hAnsi="Arial" w:cs="Arial"/>
          <w:sz w:val="22"/>
          <w:szCs w:val="22"/>
        </w:rPr>
        <w:t>usn</w:t>
      </w:r>
      <w:proofErr w:type="spellEnd"/>
      <w:r w:rsidRPr="00FD5929">
        <w:rPr>
          <w:rFonts w:ascii="Arial" w:hAnsi="Arial" w:cs="Arial"/>
          <w:sz w:val="22"/>
          <w:szCs w:val="22"/>
        </w:rPr>
        <w:t xml:space="preserve">. </w:t>
      </w:r>
      <w:proofErr w:type="spellStart"/>
      <w:r w:rsidRPr="00FD5929">
        <w:rPr>
          <w:rFonts w:ascii="Arial" w:hAnsi="Arial" w:cs="Arial"/>
          <w:sz w:val="22"/>
          <w:szCs w:val="22"/>
        </w:rPr>
        <w:t>vl</w:t>
      </w:r>
      <w:proofErr w:type="spellEnd"/>
      <w:r w:rsidRPr="00FD5929">
        <w:rPr>
          <w:rFonts w:ascii="Arial" w:hAnsi="Arial" w:cs="Arial"/>
          <w:sz w:val="22"/>
          <w:szCs w:val="22"/>
        </w:rPr>
        <w:t>. č. 380 ze dne 25.</w:t>
      </w:r>
      <w:r w:rsidR="000F58D1">
        <w:rPr>
          <w:rFonts w:ascii="Arial" w:hAnsi="Arial" w:cs="Arial"/>
          <w:sz w:val="22"/>
          <w:szCs w:val="22"/>
        </w:rPr>
        <w:t xml:space="preserve"> </w:t>
      </w:r>
      <w:r w:rsidRPr="00FD5929">
        <w:rPr>
          <w:rFonts w:ascii="Arial" w:hAnsi="Arial" w:cs="Arial"/>
          <w:sz w:val="22"/>
          <w:szCs w:val="22"/>
        </w:rPr>
        <w:t>5.</w:t>
      </w:r>
      <w:r w:rsidR="000F58D1">
        <w:rPr>
          <w:rFonts w:ascii="Arial" w:hAnsi="Arial" w:cs="Arial"/>
          <w:sz w:val="22"/>
          <w:szCs w:val="22"/>
        </w:rPr>
        <w:t xml:space="preserve"> </w:t>
      </w:r>
      <w:r w:rsidRPr="00FD5929">
        <w:rPr>
          <w:rFonts w:ascii="Arial" w:hAnsi="Arial" w:cs="Arial"/>
          <w:sz w:val="22"/>
          <w:szCs w:val="22"/>
        </w:rPr>
        <w:t xml:space="preserve">2015). </w:t>
      </w:r>
    </w:p>
    <w:p w:rsidR="009B0875" w:rsidRDefault="009B0875">
      <w:pPr>
        <w:spacing w:after="200" w:line="276" w:lineRule="auto"/>
        <w:rPr>
          <w:rFonts w:ascii="Arial" w:hAnsi="Arial" w:cs="Arial"/>
          <w:sz w:val="22"/>
          <w:szCs w:val="22"/>
        </w:rPr>
      </w:pPr>
      <w:r>
        <w:rPr>
          <w:rFonts w:ascii="Arial" w:hAnsi="Arial" w:cs="Arial"/>
          <w:sz w:val="22"/>
          <w:szCs w:val="22"/>
        </w:rPr>
        <w:br w:type="page"/>
      </w:r>
    </w:p>
    <w:p w:rsidR="00796D4B" w:rsidRPr="00FD5929" w:rsidRDefault="00796D4B" w:rsidP="00796D4B">
      <w:pPr>
        <w:spacing w:after="120"/>
        <w:jc w:val="both"/>
        <w:rPr>
          <w:rFonts w:ascii="Arial" w:hAnsi="Arial" w:cs="Arial"/>
          <w:sz w:val="22"/>
          <w:szCs w:val="22"/>
        </w:rPr>
      </w:pPr>
      <w:r w:rsidRPr="00FD5929">
        <w:rPr>
          <w:rFonts w:ascii="Arial" w:hAnsi="Arial" w:cs="Arial"/>
          <w:sz w:val="22"/>
          <w:szCs w:val="22"/>
        </w:rPr>
        <w:lastRenderedPageBreak/>
        <w:t xml:space="preserve">Graf č. 1: Vývoj výdajů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včetně SF EU a ESIF (v mil. Kč)</w:t>
      </w:r>
    </w:p>
    <w:p w:rsidR="00796D4B" w:rsidRPr="00FD5929" w:rsidRDefault="00796D4B" w:rsidP="00796D4B">
      <w:pPr>
        <w:jc w:val="both"/>
        <w:rPr>
          <w:rFonts w:ascii="Arial" w:hAnsi="Arial" w:cs="Arial"/>
          <w:sz w:val="22"/>
          <w:szCs w:val="22"/>
        </w:rPr>
      </w:pPr>
    </w:p>
    <w:p w:rsidR="00796D4B" w:rsidRPr="00FD5929" w:rsidRDefault="00796D4B" w:rsidP="00796D4B">
      <w:pPr>
        <w:spacing w:after="120"/>
        <w:jc w:val="both"/>
        <w:rPr>
          <w:rFonts w:ascii="Arial" w:hAnsi="Arial" w:cs="Arial"/>
          <w:sz w:val="22"/>
          <w:szCs w:val="22"/>
        </w:rPr>
      </w:pPr>
      <w:r w:rsidRPr="00FD5929">
        <w:rPr>
          <w:rFonts w:ascii="Arial" w:hAnsi="Arial" w:cs="Arial"/>
          <w:noProof/>
          <w:sz w:val="22"/>
          <w:szCs w:val="22"/>
        </w:rPr>
        <w:drawing>
          <wp:inline distT="0" distB="0" distL="0" distR="0" wp14:anchorId="6AE08AC2" wp14:editId="43381D87">
            <wp:extent cx="5791200" cy="3324225"/>
            <wp:effectExtent l="0" t="0" r="19050" b="9525"/>
            <wp:docPr id="5" name="Graf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C7D5B" w:rsidRPr="00FD5929" w:rsidRDefault="000C7D5B" w:rsidP="000C7D5B">
      <w:pPr>
        <w:contextualSpacing/>
        <w:jc w:val="both"/>
        <w:rPr>
          <w:rFonts w:ascii="Arial" w:hAnsi="Arial" w:cs="Arial"/>
          <w:b/>
          <w:sz w:val="22"/>
          <w:szCs w:val="22"/>
        </w:rPr>
      </w:pPr>
    </w:p>
    <w:p w:rsidR="000C7D5B" w:rsidRPr="00FD5929" w:rsidRDefault="000C7D5B" w:rsidP="000C7D5B">
      <w:pPr>
        <w:contextualSpacing/>
        <w:jc w:val="both"/>
        <w:rPr>
          <w:rFonts w:ascii="Arial" w:hAnsi="Arial" w:cs="Arial"/>
          <w:b/>
          <w:sz w:val="22"/>
          <w:szCs w:val="22"/>
        </w:rPr>
      </w:pPr>
    </w:p>
    <w:p w:rsidR="00796D4B" w:rsidRPr="00FD5929" w:rsidRDefault="00796D4B" w:rsidP="00796D4B">
      <w:pPr>
        <w:keepNext/>
        <w:spacing w:after="120"/>
        <w:ind w:left="992" w:hanging="992"/>
        <w:jc w:val="both"/>
        <w:rPr>
          <w:rFonts w:ascii="Arial" w:hAnsi="Arial" w:cs="Arial"/>
          <w:sz w:val="22"/>
          <w:szCs w:val="22"/>
        </w:rPr>
      </w:pPr>
      <w:r w:rsidRPr="00FD5929">
        <w:rPr>
          <w:rFonts w:ascii="Arial" w:eastAsia="Batang" w:hAnsi="Arial" w:cs="Arial"/>
          <w:sz w:val="22"/>
          <w:szCs w:val="22"/>
        </w:rPr>
        <w:t>Graf č. 2:</w:t>
      </w:r>
      <w:r w:rsidRPr="00FD5929">
        <w:rPr>
          <w:rFonts w:ascii="Arial" w:eastAsia="Batang" w:hAnsi="Arial" w:cs="Arial"/>
          <w:sz w:val="22"/>
          <w:szCs w:val="22"/>
        </w:rPr>
        <w:tab/>
        <w:t xml:space="preserve">Předpokládaný růst výdajů podle Reformy 2008, návrhy SR </w:t>
      </w:r>
      <w:proofErr w:type="spellStart"/>
      <w:r w:rsidRPr="00FD5929">
        <w:rPr>
          <w:rFonts w:ascii="Arial" w:eastAsia="Batang" w:hAnsi="Arial" w:cs="Arial"/>
          <w:sz w:val="22"/>
          <w:szCs w:val="22"/>
        </w:rPr>
        <w:t>VaVaI</w:t>
      </w:r>
      <w:proofErr w:type="spellEnd"/>
      <w:r w:rsidRPr="00FD5929">
        <w:rPr>
          <w:rFonts w:ascii="Arial" w:hAnsi="Arial" w:cs="Arial"/>
          <w:sz w:val="22"/>
          <w:szCs w:val="22"/>
        </w:rPr>
        <w:t xml:space="preserve"> (od roku 2010 neschválené) a skutečné výdaje SR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v letech 2008 – 2015 s výhledem do roku 2017 (v mil. Kč)</w:t>
      </w:r>
    </w:p>
    <w:p w:rsidR="000C7D5B" w:rsidRPr="00FD5929" w:rsidRDefault="00796D4B" w:rsidP="00796D4B">
      <w:pPr>
        <w:contextualSpacing/>
        <w:jc w:val="both"/>
        <w:rPr>
          <w:rFonts w:ascii="Arial" w:hAnsi="Arial" w:cs="Arial"/>
          <w:b/>
          <w:sz w:val="22"/>
          <w:szCs w:val="22"/>
        </w:rPr>
      </w:pPr>
      <w:r w:rsidRPr="00FD5929">
        <w:rPr>
          <w:rFonts w:ascii="Arial" w:hAnsi="Arial" w:cs="Arial"/>
          <w:noProof/>
          <w:sz w:val="22"/>
          <w:szCs w:val="22"/>
        </w:rPr>
        <w:drawing>
          <wp:inline distT="0" distB="0" distL="0" distR="0" wp14:anchorId="5AD190D8" wp14:editId="34AE8F47">
            <wp:extent cx="6181725" cy="3629025"/>
            <wp:effectExtent l="0" t="0" r="0" b="0"/>
            <wp:docPr id="4" name="Graf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311FD" w:rsidRDefault="002311FD">
      <w:pPr>
        <w:spacing w:after="200" w:line="276" w:lineRule="auto"/>
        <w:rPr>
          <w:rFonts w:ascii="Arial" w:hAnsi="Arial" w:cs="Arial"/>
          <w:b/>
          <w:sz w:val="22"/>
          <w:szCs w:val="22"/>
        </w:rPr>
      </w:pPr>
      <w:r>
        <w:rPr>
          <w:rFonts w:ascii="Arial" w:hAnsi="Arial" w:cs="Arial"/>
          <w:b/>
          <w:sz w:val="22"/>
          <w:szCs w:val="22"/>
        </w:rPr>
        <w:br w:type="page"/>
      </w:r>
    </w:p>
    <w:p w:rsidR="000C7D5B" w:rsidRPr="00FD5929" w:rsidRDefault="000C7D5B" w:rsidP="000C7D5B">
      <w:pPr>
        <w:contextualSpacing/>
        <w:jc w:val="both"/>
        <w:rPr>
          <w:rFonts w:ascii="Arial" w:eastAsiaTheme="minorHAnsi" w:hAnsi="Arial" w:cs="Arial"/>
          <w:b/>
          <w:sz w:val="22"/>
          <w:szCs w:val="22"/>
          <w:lang w:eastAsia="en-US"/>
        </w:rPr>
      </w:pPr>
      <w:r w:rsidRPr="00FD5929">
        <w:rPr>
          <w:rFonts w:ascii="Arial" w:hAnsi="Arial" w:cs="Arial"/>
          <w:b/>
          <w:sz w:val="22"/>
          <w:szCs w:val="22"/>
        </w:rPr>
        <w:lastRenderedPageBreak/>
        <w:t>Schéma</w:t>
      </w:r>
      <w:r w:rsidR="00796D4B" w:rsidRPr="00FD5929">
        <w:rPr>
          <w:rFonts w:ascii="Arial" w:hAnsi="Arial" w:cs="Arial"/>
          <w:b/>
          <w:sz w:val="22"/>
          <w:szCs w:val="22"/>
        </w:rPr>
        <w:t xml:space="preserve"> č. 1 - P</w:t>
      </w:r>
      <w:r w:rsidRPr="00FD5929">
        <w:rPr>
          <w:rFonts w:ascii="Arial" w:hAnsi="Arial" w:cs="Arial"/>
          <w:b/>
          <w:sz w:val="22"/>
          <w:szCs w:val="22"/>
        </w:rPr>
        <w:t>rincipů řízení aplikovaného výzkumu v České republice</w:t>
      </w:r>
    </w:p>
    <w:p w:rsidR="000C7D5B" w:rsidRPr="00FD5929" w:rsidRDefault="000C7D5B" w:rsidP="00B861F5">
      <w:pPr>
        <w:spacing w:after="120"/>
        <w:jc w:val="both"/>
        <w:rPr>
          <w:rFonts w:ascii="Arial" w:hAnsi="Arial" w:cs="Arial"/>
          <w:sz w:val="22"/>
          <w:szCs w:val="22"/>
        </w:rPr>
      </w:pPr>
    </w:p>
    <w:p w:rsidR="000C7D5B" w:rsidRPr="00FD5929" w:rsidRDefault="000C7D5B" w:rsidP="00B861F5">
      <w:pPr>
        <w:spacing w:after="120"/>
        <w:jc w:val="both"/>
        <w:rPr>
          <w:rFonts w:ascii="Arial" w:hAnsi="Arial" w:cs="Arial"/>
          <w:sz w:val="22"/>
          <w:szCs w:val="22"/>
        </w:rPr>
      </w:pPr>
      <w:r w:rsidRPr="00FD5929">
        <w:rPr>
          <w:rFonts w:ascii="Arial" w:hAnsi="Arial" w:cs="Arial"/>
          <w:noProof/>
          <w:sz w:val="22"/>
          <w:szCs w:val="22"/>
        </w:rPr>
        <w:drawing>
          <wp:inline distT="0" distB="0" distL="0" distR="0" wp14:anchorId="27BB6458" wp14:editId="5B055DBB">
            <wp:extent cx="5759509" cy="3390900"/>
            <wp:effectExtent l="0" t="0" r="0" b="0"/>
            <wp:docPr id="6" name="Obrázek 6" descr="C:\Users\novotnam\Documents\Prezentace\Obráz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novotnam\Documents\Prezentace\Obráze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391613"/>
                    </a:xfrm>
                    <a:prstGeom prst="rect">
                      <a:avLst/>
                    </a:prstGeom>
                    <a:noFill/>
                    <a:ln>
                      <a:noFill/>
                    </a:ln>
                  </pic:spPr>
                </pic:pic>
              </a:graphicData>
            </a:graphic>
          </wp:inline>
        </w:drawing>
      </w:r>
    </w:p>
    <w:p w:rsidR="000C7D5B" w:rsidRPr="00FD5929" w:rsidRDefault="000C7D5B" w:rsidP="00B861F5">
      <w:pPr>
        <w:spacing w:after="120"/>
        <w:jc w:val="both"/>
        <w:rPr>
          <w:rFonts w:ascii="Arial" w:hAnsi="Arial" w:cs="Arial"/>
          <w:sz w:val="22"/>
          <w:szCs w:val="22"/>
        </w:rPr>
      </w:pPr>
    </w:p>
    <w:p w:rsidR="000C7D5B" w:rsidRPr="00FD5929" w:rsidRDefault="000C7D5B" w:rsidP="00B861F5">
      <w:pPr>
        <w:spacing w:after="120"/>
        <w:jc w:val="both"/>
        <w:rPr>
          <w:rFonts w:ascii="Arial" w:hAnsi="Arial" w:cs="Arial"/>
          <w:sz w:val="22"/>
          <w:szCs w:val="22"/>
        </w:rPr>
      </w:pPr>
    </w:p>
    <w:p w:rsidR="00B861F5" w:rsidRPr="00FD5929" w:rsidRDefault="000C7D5B" w:rsidP="00B861F5">
      <w:pPr>
        <w:pStyle w:val="Odstavecseseznamem"/>
        <w:numPr>
          <w:ilvl w:val="0"/>
          <w:numId w:val="8"/>
        </w:numPr>
        <w:spacing w:after="120"/>
        <w:jc w:val="both"/>
        <w:rPr>
          <w:rFonts w:ascii="Arial" w:hAnsi="Arial" w:cs="Arial"/>
          <w:sz w:val="22"/>
          <w:szCs w:val="22"/>
        </w:rPr>
      </w:pPr>
      <w:r w:rsidRPr="00FD5929">
        <w:rPr>
          <w:rFonts w:ascii="Arial" w:hAnsi="Arial" w:cs="Arial"/>
          <w:sz w:val="22"/>
          <w:szCs w:val="22"/>
        </w:rPr>
        <w:t>Fi</w:t>
      </w:r>
      <w:r w:rsidR="00B861F5" w:rsidRPr="00FD5929">
        <w:rPr>
          <w:rFonts w:ascii="Arial" w:hAnsi="Arial" w:cs="Arial"/>
          <w:sz w:val="22"/>
          <w:szCs w:val="22"/>
        </w:rPr>
        <w:t xml:space="preserve">nancování udržitelnosti </w:t>
      </w:r>
      <w:proofErr w:type="spellStart"/>
      <w:r w:rsidR="00B861F5" w:rsidRPr="00FD5929">
        <w:rPr>
          <w:rFonts w:ascii="Arial" w:hAnsi="Arial" w:cs="Arial"/>
          <w:sz w:val="22"/>
          <w:szCs w:val="22"/>
        </w:rPr>
        <w:t>VaVpI</w:t>
      </w:r>
      <w:proofErr w:type="spellEnd"/>
      <w:r w:rsidR="00B861F5" w:rsidRPr="00FD5929">
        <w:rPr>
          <w:rFonts w:ascii="Arial" w:hAnsi="Arial" w:cs="Arial"/>
          <w:sz w:val="22"/>
          <w:szCs w:val="22"/>
        </w:rPr>
        <w:t xml:space="preserve"> center ve vazbě na ekonomické a společenské přínosy.</w:t>
      </w:r>
    </w:p>
    <w:p w:rsidR="00B861F5" w:rsidRPr="00FD5929" w:rsidRDefault="00B861F5" w:rsidP="00B861F5">
      <w:pPr>
        <w:pStyle w:val="Odstavecseseznamem"/>
        <w:numPr>
          <w:ilvl w:val="0"/>
          <w:numId w:val="8"/>
        </w:numPr>
        <w:spacing w:after="120"/>
        <w:ind w:left="714" w:hanging="357"/>
        <w:contextualSpacing w:val="0"/>
        <w:jc w:val="both"/>
        <w:rPr>
          <w:rFonts w:ascii="Arial" w:hAnsi="Arial" w:cs="Arial"/>
          <w:sz w:val="22"/>
          <w:szCs w:val="22"/>
        </w:rPr>
      </w:pPr>
      <w:r w:rsidRPr="00FD5929">
        <w:rPr>
          <w:rFonts w:ascii="Arial" w:hAnsi="Arial" w:cs="Arial"/>
          <w:sz w:val="22"/>
          <w:szCs w:val="22"/>
        </w:rPr>
        <w:t>Systémové řešení financování aplikovaného průmyslového výzkumu, které je projednáváno s partnery akademické i průmyslové sféry. Zejména je v této souvislosti nutno projednat s TA ČR jeho roli jako poskytovatele podpory aplikovaného výzkumu v oblastech:</w:t>
      </w:r>
    </w:p>
    <w:p w:rsidR="00B861F5" w:rsidRPr="00FD5929" w:rsidRDefault="00B861F5" w:rsidP="00B861F5">
      <w:pPr>
        <w:pStyle w:val="Odstavecseseznamem"/>
        <w:numPr>
          <w:ilvl w:val="2"/>
          <w:numId w:val="9"/>
        </w:numPr>
        <w:spacing w:after="120"/>
        <w:ind w:left="2154" w:hanging="357"/>
        <w:contextualSpacing w:val="0"/>
        <w:jc w:val="both"/>
        <w:rPr>
          <w:rFonts w:ascii="Arial" w:hAnsi="Arial" w:cs="Arial"/>
          <w:sz w:val="22"/>
          <w:szCs w:val="22"/>
        </w:rPr>
      </w:pPr>
      <w:r w:rsidRPr="00FD5929">
        <w:rPr>
          <w:rFonts w:ascii="Arial" w:hAnsi="Arial" w:cs="Arial"/>
          <w:sz w:val="22"/>
          <w:szCs w:val="22"/>
        </w:rPr>
        <w:t xml:space="preserve">Průmyslový aplikovaný výzkum </w:t>
      </w:r>
    </w:p>
    <w:p w:rsidR="00B861F5" w:rsidRPr="00FD5929" w:rsidRDefault="00B861F5" w:rsidP="00B861F5">
      <w:pPr>
        <w:pStyle w:val="Odstavecseseznamem"/>
        <w:numPr>
          <w:ilvl w:val="2"/>
          <w:numId w:val="9"/>
        </w:numPr>
        <w:spacing w:after="120"/>
        <w:contextualSpacing w:val="0"/>
        <w:jc w:val="both"/>
        <w:rPr>
          <w:rFonts w:ascii="Arial" w:hAnsi="Arial" w:cs="Arial"/>
          <w:sz w:val="22"/>
          <w:szCs w:val="22"/>
        </w:rPr>
      </w:pPr>
      <w:r w:rsidRPr="00FD5929">
        <w:rPr>
          <w:rFonts w:ascii="Arial" w:hAnsi="Arial" w:cs="Arial"/>
          <w:sz w:val="22"/>
          <w:szCs w:val="22"/>
        </w:rPr>
        <w:t xml:space="preserve">Aplikovaný výzkum pro potřeby rezortů a společenské výzvy </w:t>
      </w:r>
    </w:p>
    <w:p w:rsidR="00B861F5" w:rsidRPr="00FD5929" w:rsidRDefault="00B861F5" w:rsidP="00B861F5">
      <w:pPr>
        <w:pStyle w:val="Odstavecseseznamem"/>
        <w:numPr>
          <w:ilvl w:val="2"/>
          <w:numId w:val="9"/>
        </w:numPr>
        <w:spacing w:after="120"/>
        <w:contextualSpacing w:val="0"/>
        <w:jc w:val="both"/>
        <w:rPr>
          <w:rFonts w:ascii="Arial" w:hAnsi="Arial" w:cs="Arial"/>
          <w:sz w:val="22"/>
          <w:szCs w:val="22"/>
        </w:rPr>
      </w:pPr>
      <w:r w:rsidRPr="00FD5929">
        <w:rPr>
          <w:rFonts w:ascii="Arial" w:hAnsi="Arial" w:cs="Arial"/>
          <w:sz w:val="22"/>
          <w:szCs w:val="22"/>
        </w:rPr>
        <w:t>Mezinárodní spolupráce (program DELTA realizovaný TA ČR).</w:t>
      </w:r>
    </w:p>
    <w:p w:rsidR="00B861F5" w:rsidRPr="00FD5929" w:rsidRDefault="00B861F5" w:rsidP="00B861F5">
      <w:pPr>
        <w:pStyle w:val="Odstavecseseznamem"/>
        <w:numPr>
          <w:ilvl w:val="0"/>
          <w:numId w:val="8"/>
        </w:numPr>
        <w:spacing w:after="120"/>
        <w:jc w:val="both"/>
        <w:rPr>
          <w:rFonts w:ascii="Arial" w:hAnsi="Arial" w:cs="Arial"/>
          <w:sz w:val="22"/>
          <w:szCs w:val="22"/>
        </w:rPr>
      </w:pPr>
      <w:r w:rsidRPr="00FD5929">
        <w:rPr>
          <w:rFonts w:ascii="Arial" w:hAnsi="Arial" w:cs="Arial"/>
          <w:sz w:val="22"/>
          <w:szCs w:val="22"/>
        </w:rPr>
        <w:t>Zapojení zdrojů EU (programy OP VVV, OP PIK, OP PR), které budou s ohledem na</w:t>
      </w:r>
      <w:r w:rsidR="009B0875">
        <w:rPr>
          <w:rFonts w:ascii="Arial" w:hAnsi="Arial" w:cs="Arial"/>
          <w:sz w:val="22"/>
          <w:szCs w:val="22"/>
        </w:rPr>
        <w:t> </w:t>
      </w:r>
      <w:r w:rsidRPr="00FD5929">
        <w:rPr>
          <w:rFonts w:ascii="Arial" w:hAnsi="Arial" w:cs="Arial"/>
          <w:sz w:val="22"/>
          <w:szCs w:val="22"/>
        </w:rPr>
        <w:t xml:space="preserve">náběhovou křivku a pravidlo n+3 kulminovat v letech 2017 a 2018 a budou mít dlouhodobý dopad na financování celého systému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do roku 2023.</w:t>
      </w:r>
    </w:p>
    <w:p w:rsidR="00B861F5" w:rsidRPr="00FD5929" w:rsidRDefault="00B861F5" w:rsidP="00B861F5">
      <w:pPr>
        <w:pStyle w:val="Odstavecseseznamem"/>
        <w:numPr>
          <w:ilvl w:val="0"/>
          <w:numId w:val="8"/>
        </w:numPr>
        <w:spacing w:after="120"/>
        <w:jc w:val="both"/>
        <w:rPr>
          <w:rFonts w:ascii="Arial" w:hAnsi="Arial" w:cs="Arial"/>
          <w:sz w:val="22"/>
          <w:szCs w:val="22"/>
        </w:rPr>
      </w:pPr>
      <w:r w:rsidRPr="00FD5929">
        <w:rPr>
          <w:rFonts w:ascii="Arial" w:hAnsi="Arial" w:cs="Arial"/>
          <w:sz w:val="22"/>
          <w:szCs w:val="22"/>
        </w:rPr>
        <w:t>Rozvoj systému by měl být v dlouhodobém období řešen prostřednictvím posilování složky RVO na úkor účelového financování. Klasickými složkami účelového financování, které by měly být při změně poměru utlumovány, popř. přesouvány do institucionální podpory, jsou:</w:t>
      </w:r>
    </w:p>
    <w:p w:rsidR="00B861F5" w:rsidRPr="00FD5929" w:rsidRDefault="00B861F5" w:rsidP="009B0875">
      <w:pPr>
        <w:pStyle w:val="Odstavecseseznamem"/>
        <w:spacing w:after="120"/>
        <w:jc w:val="both"/>
        <w:rPr>
          <w:rFonts w:ascii="Arial" w:hAnsi="Arial" w:cs="Arial"/>
          <w:sz w:val="22"/>
          <w:szCs w:val="22"/>
        </w:rPr>
      </w:pPr>
    </w:p>
    <w:p w:rsidR="00B861F5" w:rsidRPr="00FD5929" w:rsidRDefault="00B861F5" w:rsidP="00B861F5">
      <w:pPr>
        <w:pStyle w:val="Odstavecseseznamem"/>
        <w:numPr>
          <w:ilvl w:val="1"/>
          <w:numId w:val="8"/>
        </w:numPr>
        <w:spacing w:after="120"/>
        <w:ind w:left="1434" w:hanging="357"/>
        <w:contextualSpacing w:val="0"/>
        <w:jc w:val="both"/>
        <w:rPr>
          <w:rFonts w:ascii="Arial" w:hAnsi="Arial" w:cs="Arial"/>
          <w:sz w:val="22"/>
          <w:szCs w:val="22"/>
        </w:rPr>
      </w:pPr>
      <w:r w:rsidRPr="00FD5929">
        <w:rPr>
          <w:rFonts w:ascii="Arial" w:hAnsi="Arial" w:cs="Arial"/>
          <w:sz w:val="22"/>
          <w:szCs w:val="22"/>
        </w:rPr>
        <w:t>Národní program udržitelnosti („NPU“) I a II – jako dočasný nástroj, který bude v období do roku 2020/2023 transformován do nárůstu RVO na systémy aplikovaného i neaplikovaného výzkumu s akcentem RVO na aplikovaný výzkum od roku 2018 (</w:t>
      </w:r>
      <w:proofErr w:type="spellStart"/>
      <w:r w:rsidRPr="00FD5929">
        <w:rPr>
          <w:rFonts w:ascii="Arial" w:hAnsi="Arial" w:cs="Arial"/>
          <w:sz w:val="22"/>
          <w:szCs w:val="22"/>
        </w:rPr>
        <w:t>vertikalizace</w:t>
      </w:r>
      <w:proofErr w:type="spellEnd"/>
      <w:r w:rsidRPr="00FD5929">
        <w:rPr>
          <w:rFonts w:ascii="Arial" w:hAnsi="Arial" w:cs="Arial"/>
          <w:sz w:val="22"/>
          <w:szCs w:val="22"/>
        </w:rPr>
        <w:t xml:space="preserve"> intervencí RIS 3), popř. do vzniku nových dotačních nástrojů,</w:t>
      </w:r>
    </w:p>
    <w:p w:rsidR="00B861F5" w:rsidRPr="00FD5929" w:rsidRDefault="00B861F5" w:rsidP="00B861F5">
      <w:pPr>
        <w:pStyle w:val="Odstavecseseznamem"/>
        <w:numPr>
          <w:ilvl w:val="1"/>
          <w:numId w:val="8"/>
        </w:numPr>
        <w:spacing w:after="120"/>
        <w:ind w:left="1434" w:hanging="357"/>
        <w:contextualSpacing w:val="0"/>
        <w:jc w:val="both"/>
        <w:rPr>
          <w:rFonts w:ascii="Arial" w:hAnsi="Arial" w:cs="Arial"/>
          <w:sz w:val="22"/>
          <w:szCs w:val="22"/>
        </w:rPr>
      </w:pPr>
      <w:r w:rsidRPr="00FD5929">
        <w:rPr>
          <w:rFonts w:ascii="Arial" w:hAnsi="Arial" w:cs="Arial"/>
          <w:sz w:val="22"/>
          <w:szCs w:val="22"/>
        </w:rPr>
        <w:t xml:space="preserve">projekty velkých výzkumných infrastruktur – sjednocení posuzování s ostatními infrastrukturami – posílení RVO od roku 2018, </w:t>
      </w:r>
    </w:p>
    <w:p w:rsidR="00B861F5" w:rsidRPr="00FD5929" w:rsidRDefault="00B861F5" w:rsidP="00B861F5">
      <w:pPr>
        <w:pStyle w:val="Odstavecseseznamem"/>
        <w:numPr>
          <w:ilvl w:val="1"/>
          <w:numId w:val="8"/>
        </w:numPr>
        <w:spacing w:after="120"/>
        <w:ind w:left="1434" w:hanging="357"/>
        <w:contextualSpacing w:val="0"/>
        <w:jc w:val="both"/>
        <w:rPr>
          <w:rFonts w:ascii="Arial" w:hAnsi="Arial" w:cs="Arial"/>
          <w:sz w:val="22"/>
          <w:szCs w:val="22"/>
        </w:rPr>
      </w:pPr>
      <w:r w:rsidRPr="00FD5929">
        <w:rPr>
          <w:rFonts w:ascii="Arial" w:hAnsi="Arial" w:cs="Arial"/>
          <w:sz w:val="22"/>
          <w:szCs w:val="22"/>
        </w:rPr>
        <w:lastRenderedPageBreak/>
        <w:t>mezinárodní spolupráce zaměřená na získávání lidských zdrojů do národních institucí.</w:t>
      </w:r>
    </w:p>
    <w:p w:rsidR="00B861F5" w:rsidRPr="00FD5929" w:rsidRDefault="00B861F5" w:rsidP="00B861F5">
      <w:pPr>
        <w:pStyle w:val="Odstavecseseznamem"/>
        <w:numPr>
          <w:ilvl w:val="0"/>
          <w:numId w:val="8"/>
        </w:numPr>
        <w:spacing w:after="120"/>
        <w:contextualSpacing w:val="0"/>
        <w:jc w:val="both"/>
        <w:rPr>
          <w:rFonts w:ascii="Arial" w:hAnsi="Arial" w:cs="Arial"/>
          <w:sz w:val="22"/>
          <w:szCs w:val="22"/>
        </w:rPr>
      </w:pPr>
      <w:r w:rsidRPr="00FD5929">
        <w:rPr>
          <w:rFonts w:ascii="Arial" w:hAnsi="Arial" w:cs="Arial"/>
          <w:sz w:val="22"/>
          <w:szCs w:val="22"/>
        </w:rPr>
        <w:t>Spolufinancování fondů EU z národních zdrojů má logický smysl v případě zapojení „evropské části“, protože prostředky OP VVV jsou prostředky obdobné RVO, má smysl jejich kategorizace do institucionální podpory obecně (s omezením jejich dočasnosti). Současně však je možné říci, že prostředky OP PIK jsou prostředky zapojené do „RVO“ a aplikovaného výzkumu.</w:t>
      </w:r>
    </w:p>
    <w:p w:rsidR="00B861F5" w:rsidRPr="00FD5929" w:rsidRDefault="00B861F5" w:rsidP="00B861F5">
      <w:pPr>
        <w:pStyle w:val="Odstavecseseznamem"/>
        <w:numPr>
          <w:ilvl w:val="0"/>
          <w:numId w:val="10"/>
        </w:numPr>
        <w:spacing w:after="120"/>
        <w:contextualSpacing w:val="0"/>
        <w:jc w:val="both"/>
        <w:rPr>
          <w:rFonts w:ascii="Arial" w:hAnsi="Arial" w:cs="Arial"/>
          <w:sz w:val="22"/>
          <w:szCs w:val="22"/>
        </w:rPr>
      </w:pPr>
      <w:r w:rsidRPr="00FD5929">
        <w:rPr>
          <w:rFonts w:ascii="Arial" w:hAnsi="Arial" w:cs="Arial"/>
          <w:sz w:val="22"/>
          <w:szCs w:val="22"/>
        </w:rPr>
        <w:t xml:space="preserve">Součástí nové NP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by mělo být i přehodnocení Národních priorit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zahrnující část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v ČR, které budou podpořeny výrazně více (cca o 25 – 50 %) než ostatní, neprioritní aktivity </w:t>
      </w:r>
      <w:proofErr w:type="spellStart"/>
      <w:r w:rsidRPr="00FD5929">
        <w:rPr>
          <w:rFonts w:ascii="Arial" w:hAnsi="Arial" w:cs="Arial"/>
          <w:sz w:val="22"/>
          <w:szCs w:val="22"/>
        </w:rPr>
        <w:t>VaVaI</w:t>
      </w:r>
      <w:proofErr w:type="spellEnd"/>
      <w:r w:rsidRPr="00FD5929">
        <w:rPr>
          <w:rFonts w:ascii="Arial" w:hAnsi="Arial" w:cs="Arial"/>
          <w:sz w:val="22"/>
          <w:szCs w:val="22"/>
        </w:rPr>
        <w:t xml:space="preserve"> (vazba na RIS 3). Hlavním kritériem výběru priorit budou jejich přínosy pro hospodářství a společnost ČR.</w:t>
      </w:r>
    </w:p>
    <w:p w:rsidR="00B861F5" w:rsidRPr="00FD5929" w:rsidRDefault="00B861F5" w:rsidP="00B861F5">
      <w:pPr>
        <w:pStyle w:val="Zkladntextodsazen2"/>
        <w:spacing w:after="120"/>
        <w:ind w:firstLine="0"/>
        <w:rPr>
          <w:rFonts w:ascii="Arial" w:hAnsi="Arial" w:cs="Arial"/>
          <w:szCs w:val="22"/>
        </w:rPr>
      </w:pPr>
      <w:r w:rsidRPr="00FD5929">
        <w:rPr>
          <w:rFonts w:ascii="Arial" w:hAnsi="Arial" w:cs="Arial"/>
          <w:szCs w:val="22"/>
        </w:rPr>
        <w:t>Návrh výdajů na rok 2016 a střednědobého výhledu na roky 2017 a 2018 je směřován k postupnému naplňování těchto hlavních cílů:</w:t>
      </w:r>
    </w:p>
    <w:p w:rsidR="00B861F5" w:rsidRPr="00FD5929" w:rsidRDefault="00B861F5" w:rsidP="00B861F5">
      <w:pPr>
        <w:pStyle w:val="Zkladntextodsazen2"/>
        <w:numPr>
          <w:ilvl w:val="0"/>
          <w:numId w:val="11"/>
        </w:numPr>
        <w:spacing w:after="120"/>
        <w:rPr>
          <w:rFonts w:ascii="Arial" w:hAnsi="Arial" w:cs="Arial"/>
          <w:szCs w:val="22"/>
        </w:rPr>
      </w:pPr>
      <w:r w:rsidRPr="00FD5929">
        <w:rPr>
          <w:rFonts w:ascii="Arial" w:hAnsi="Arial" w:cs="Arial"/>
          <w:szCs w:val="22"/>
        </w:rPr>
        <w:t xml:space="preserve">Zajistit financování systému při přípravě na nový systém řízení veřejné podpory </w:t>
      </w:r>
      <w:proofErr w:type="spellStart"/>
      <w:r w:rsidRPr="00FD5929">
        <w:rPr>
          <w:rFonts w:ascii="Arial" w:hAnsi="Arial" w:cs="Arial"/>
          <w:szCs w:val="22"/>
        </w:rPr>
        <w:t>VaVaI</w:t>
      </w:r>
      <w:proofErr w:type="spellEnd"/>
      <w:r w:rsidRPr="00FD5929">
        <w:rPr>
          <w:rFonts w:ascii="Arial" w:hAnsi="Arial" w:cs="Arial"/>
          <w:szCs w:val="22"/>
        </w:rPr>
        <w:t>.</w:t>
      </w:r>
    </w:p>
    <w:p w:rsidR="00B861F5" w:rsidRPr="00FD5929" w:rsidRDefault="00B861F5" w:rsidP="00B861F5">
      <w:pPr>
        <w:pStyle w:val="Zkladntextodsazen2"/>
        <w:numPr>
          <w:ilvl w:val="0"/>
          <w:numId w:val="11"/>
        </w:numPr>
        <w:spacing w:after="120"/>
        <w:rPr>
          <w:rFonts w:ascii="Arial" w:hAnsi="Arial" w:cs="Arial"/>
          <w:szCs w:val="22"/>
        </w:rPr>
      </w:pPr>
      <w:r w:rsidRPr="00FD5929">
        <w:rPr>
          <w:rFonts w:ascii="Arial" w:hAnsi="Arial" w:cs="Arial"/>
          <w:szCs w:val="22"/>
        </w:rPr>
        <w:t xml:space="preserve">Zajistit maximální využití fondů EU (průběžně vyhodnocovat čerpání fondů EU a postupně </w:t>
      </w:r>
      <w:proofErr w:type="spellStart"/>
      <w:r w:rsidRPr="00FD5929">
        <w:rPr>
          <w:rFonts w:ascii="Arial" w:hAnsi="Arial" w:cs="Arial"/>
          <w:szCs w:val="22"/>
        </w:rPr>
        <w:t>vertikalizovat</w:t>
      </w:r>
      <w:proofErr w:type="spellEnd"/>
      <w:r w:rsidRPr="00FD5929">
        <w:rPr>
          <w:rFonts w:ascii="Arial" w:hAnsi="Arial" w:cs="Arial"/>
          <w:szCs w:val="22"/>
        </w:rPr>
        <w:t xml:space="preserve"> intervence návazně na implementaci RIS 3).</w:t>
      </w:r>
    </w:p>
    <w:p w:rsidR="00B861F5" w:rsidRPr="00FD5929" w:rsidRDefault="00B861F5" w:rsidP="00B861F5">
      <w:pPr>
        <w:pStyle w:val="Zkladntextodsazen2"/>
        <w:numPr>
          <w:ilvl w:val="0"/>
          <w:numId w:val="11"/>
        </w:numPr>
        <w:spacing w:after="120"/>
        <w:rPr>
          <w:rFonts w:ascii="Arial" w:hAnsi="Arial" w:cs="Arial"/>
          <w:szCs w:val="22"/>
        </w:rPr>
      </w:pPr>
      <w:r w:rsidRPr="00FD5929">
        <w:rPr>
          <w:rFonts w:ascii="Arial" w:hAnsi="Arial" w:cs="Arial"/>
          <w:szCs w:val="22"/>
        </w:rPr>
        <w:t>Posílit podporu aplikovaného výzkumu, a</w:t>
      </w:r>
      <w:r w:rsidRPr="00FD5929">
        <w:rPr>
          <w:rFonts w:ascii="Arial" w:hAnsi="Arial" w:cs="Arial"/>
          <w:noProof/>
          <w:szCs w:val="22"/>
        </w:rPr>
        <w:t> </w:t>
      </w:r>
      <w:r w:rsidRPr="00FD5929">
        <w:rPr>
          <w:rFonts w:ascii="Arial" w:hAnsi="Arial" w:cs="Arial"/>
          <w:szCs w:val="22"/>
        </w:rPr>
        <w:t xml:space="preserve">tím přispět ke zvýšení konkurenceschopnosti České republiky v souladu s vládou přijatými strategickými dokumenty. </w:t>
      </w:r>
    </w:p>
    <w:p w:rsidR="00B861F5" w:rsidRPr="00FD5929" w:rsidRDefault="00B861F5" w:rsidP="00CC370F">
      <w:pPr>
        <w:pStyle w:val="Zkladntextodsazen2"/>
        <w:numPr>
          <w:ilvl w:val="0"/>
          <w:numId w:val="11"/>
        </w:numPr>
        <w:spacing w:after="120"/>
        <w:rPr>
          <w:rFonts w:ascii="Arial" w:hAnsi="Arial" w:cs="Arial"/>
          <w:szCs w:val="22"/>
        </w:rPr>
      </w:pPr>
      <w:r w:rsidRPr="00FD5929">
        <w:rPr>
          <w:rFonts w:ascii="Arial" w:hAnsi="Arial" w:cs="Arial"/>
          <w:szCs w:val="22"/>
        </w:rPr>
        <w:t>Stabilizovat výdaje na dlouhodobý koncepční rozvoj výzkumných organizací, zabezpečit v základní míře financování udržitelnosti infrastruktur pro výzkum a vývoj a jejich postupný upgrade.</w:t>
      </w:r>
    </w:p>
    <w:sectPr w:rsidR="00B861F5" w:rsidRPr="00FD5929" w:rsidSect="009758E5">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EAB" w:rsidRDefault="000B2EAB" w:rsidP="008F77F6">
      <w:r>
        <w:separator/>
      </w:r>
    </w:p>
  </w:endnote>
  <w:endnote w:type="continuationSeparator" w:id="0">
    <w:p w:rsidR="000B2EAB" w:rsidRDefault="000B2EAB"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F84485" w:rsidP="00F84485">
    <w:pPr>
      <w:pStyle w:val="Zpat"/>
      <w:rPr>
        <w:rFonts w:ascii="Arial" w:hAnsi="Arial" w:cs="Arial"/>
        <w:sz w:val="18"/>
        <w:szCs w:val="18"/>
      </w:rPr>
    </w:pPr>
    <w:r w:rsidRPr="00F84485">
      <w:rPr>
        <w:rFonts w:ascii="Arial" w:hAnsi="Arial" w:cs="Arial"/>
        <w:sz w:val="18"/>
        <w:szCs w:val="18"/>
      </w:rPr>
      <w:t xml:space="preserve">Analýza stavu výzkumu, vývoje a inovací v České republice a jejich srovnání se zahraničím v roce 2014 </w:t>
    </w:r>
    <w:r>
      <w:rPr>
        <w:rFonts w:ascii="Arial" w:hAnsi="Arial" w:cs="Arial"/>
        <w:sz w:val="18"/>
        <w:szCs w:val="18"/>
      </w:rPr>
      <w:br/>
    </w:r>
    <w:r w:rsidRPr="00F84485">
      <w:rPr>
        <w:rFonts w:ascii="Arial" w:hAnsi="Arial" w:cs="Arial"/>
        <w:sz w:val="18"/>
        <w:szCs w:val="18"/>
      </w:rPr>
      <w:t xml:space="preserve">– </w:t>
    </w:r>
    <w:r w:rsidR="00D75571">
      <w:rPr>
        <w:rFonts w:ascii="Arial" w:hAnsi="Arial" w:cs="Arial"/>
        <w:sz w:val="18"/>
        <w:szCs w:val="18"/>
      </w:rPr>
      <w:t>průvodní informace</w:t>
    </w:r>
    <w:r w:rsidRPr="00F84485">
      <w:rPr>
        <w:rFonts w:ascii="Arial" w:hAnsi="Arial" w:cs="Arial"/>
        <w:sz w:val="18"/>
        <w:szCs w:val="18"/>
      </w:rPr>
      <w:t xml:space="preserve"> </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552C49">
          <w:rPr>
            <w:rFonts w:ascii="Arial" w:hAnsi="Arial" w:cs="Arial"/>
            <w:noProof/>
            <w:sz w:val="18"/>
            <w:szCs w:val="18"/>
          </w:rPr>
          <w:t>2</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552C49">
          <w:rPr>
            <w:rFonts w:ascii="Arial" w:hAnsi="Arial" w:cs="Arial"/>
            <w:noProof/>
            <w:sz w:val="18"/>
            <w:szCs w:val="18"/>
          </w:rPr>
          <w:t>9</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552C49">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552C49">
          <w:rPr>
            <w:rFonts w:ascii="Arial" w:hAnsi="Arial" w:cs="Arial"/>
            <w:noProof/>
            <w:sz w:val="18"/>
            <w:szCs w:val="18"/>
          </w:rPr>
          <w:t>9</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EAB" w:rsidRDefault="000B2EAB" w:rsidP="008F77F6">
      <w:r>
        <w:separator/>
      </w:r>
    </w:p>
  </w:footnote>
  <w:footnote w:type="continuationSeparator" w:id="0">
    <w:p w:rsidR="000B2EAB" w:rsidRDefault="000B2EAB"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DD296FD" wp14:editId="22F75229">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26215B1F" wp14:editId="68B18A5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0B1445" w:rsidP="00D75571">
          <w:pPr>
            <w:pStyle w:val="Zhlav"/>
            <w:jc w:val="center"/>
            <w:rPr>
              <w:rFonts w:ascii="Arial" w:hAnsi="Arial" w:cs="Arial"/>
              <w:b/>
              <w:color w:val="0070C0"/>
              <w:sz w:val="28"/>
              <w:szCs w:val="28"/>
            </w:rPr>
          </w:pPr>
          <w:r>
            <w:rPr>
              <w:rFonts w:ascii="Arial" w:hAnsi="Arial" w:cs="Arial"/>
              <w:b/>
              <w:color w:val="0070C0"/>
              <w:sz w:val="28"/>
              <w:szCs w:val="28"/>
            </w:rPr>
            <w:t>30</w:t>
          </w:r>
          <w:r w:rsidR="00FC7C69">
            <w:rPr>
              <w:rFonts w:ascii="Arial" w:hAnsi="Arial" w:cs="Arial"/>
              <w:b/>
              <w:color w:val="0070C0"/>
              <w:sz w:val="28"/>
              <w:szCs w:val="28"/>
            </w:rPr>
            <w:t>7</w:t>
          </w:r>
          <w:r>
            <w:rPr>
              <w:rFonts w:ascii="Arial" w:hAnsi="Arial" w:cs="Arial"/>
              <w:b/>
              <w:color w:val="0070C0"/>
              <w:sz w:val="28"/>
              <w:szCs w:val="28"/>
            </w:rPr>
            <w:t>/</w:t>
          </w:r>
          <w:r w:rsidR="00060AD2">
            <w:rPr>
              <w:rFonts w:ascii="Arial" w:hAnsi="Arial" w:cs="Arial"/>
              <w:b/>
              <w:color w:val="0070C0"/>
              <w:sz w:val="28"/>
              <w:szCs w:val="28"/>
            </w:rPr>
            <w:t>A4</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BB1FF2"/>
    <w:multiLevelType w:val="hybridMultilevel"/>
    <w:tmpl w:val="9DD8D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ED245E"/>
    <w:multiLevelType w:val="hybridMultilevel"/>
    <w:tmpl w:val="CF50B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BB143E8"/>
    <w:multiLevelType w:val="hybridMultilevel"/>
    <w:tmpl w:val="A6B05ACE"/>
    <w:lvl w:ilvl="0" w:tplc="09F65BD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CFA71D1"/>
    <w:multiLevelType w:val="hybridMultilevel"/>
    <w:tmpl w:val="40C8A7FA"/>
    <w:lvl w:ilvl="0" w:tplc="6178D56C">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5">
    <w:nsid w:val="16E0365C"/>
    <w:multiLevelType w:val="hybridMultilevel"/>
    <w:tmpl w:val="7F321D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6F31D84"/>
    <w:multiLevelType w:val="hybridMultilevel"/>
    <w:tmpl w:val="57024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7555F54"/>
    <w:multiLevelType w:val="hybridMultilevel"/>
    <w:tmpl w:val="EAB48A8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D075A9D"/>
    <w:multiLevelType w:val="hybridMultilevel"/>
    <w:tmpl w:val="E58E01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E2A6D2C"/>
    <w:multiLevelType w:val="hybridMultilevel"/>
    <w:tmpl w:val="0E76068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50209A3"/>
    <w:multiLevelType w:val="hybridMultilevel"/>
    <w:tmpl w:val="A77E11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52E7C77"/>
    <w:multiLevelType w:val="hybridMultilevel"/>
    <w:tmpl w:val="B27A91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518208B"/>
    <w:multiLevelType w:val="hybridMultilevel"/>
    <w:tmpl w:val="70469F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3DAF1EB3"/>
    <w:multiLevelType w:val="hybridMultilevel"/>
    <w:tmpl w:val="5186E0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484506C"/>
    <w:multiLevelType w:val="hybridMultilevel"/>
    <w:tmpl w:val="18BAF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8A81814"/>
    <w:multiLevelType w:val="hybridMultilevel"/>
    <w:tmpl w:val="CFF68D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DD2475F"/>
    <w:multiLevelType w:val="hybridMultilevel"/>
    <w:tmpl w:val="75781EC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52AC64F1"/>
    <w:multiLevelType w:val="hybridMultilevel"/>
    <w:tmpl w:val="693C85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B3C308A"/>
    <w:multiLevelType w:val="multilevel"/>
    <w:tmpl w:val="BA54BE7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EFE47D8"/>
    <w:multiLevelType w:val="hybridMultilevel"/>
    <w:tmpl w:val="34DE8F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D5C7DBE"/>
    <w:multiLevelType w:val="hybridMultilevel"/>
    <w:tmpl w:val="4C9C6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1"/>
  </w:num>
  <w:num w:numId="4">
    <w:abstractNumId w:val="1"/>
  </w:num>
  <w:num w:numId="5">
    <w:abstractNumId w:val="20"/>
  </w:num>
  <w:num w:numId="6">
    <w:abstractNumId w:val="4"/>
  </w:num>
  <w:num w:numId="7">
    <w:abstractNumId w:val="12"/>
  </w:num>
  <w:num w:numId="8">
    <w:abstractNumId w:val="5"/>
  </w:num>
  <w:num w:numId="9">
    <w:abstractNumId w:val="7"/>
  </w:num>
  <w:num w:numId="10">
    <w:abstractNumId w:val="15"/>
  </w:num>
  <w:num w:numId="11">
    <w:abstractNumId w:val="3"/>
  </w:num>
  <w:num w:numId="12">
    <w:abstractNumId w:val="19"/>
  </w:num>
  <w:num w:numId="13">
    <w:abstractNumId w:val="13"/>
  </w:num>
  <w:num w:numId="14">
    <w:abstractNumId w:val="8"/>
  </w:num>
  <w:num w:numId="15">
    <w:abstractNumId w:val="2"/>
  </w:num>
  <w:num w:numId="16">
    <w:abstractNumId w:val="16"/>
  </w:num>
  <w:num w:numId="17">
    <w:abstractNumId w:val="9"/>
  </w:num>
  <w:num w:numId="18">
    <w:abstractNumId w:val="17"/>
  </w:num>
  <w:num w:numId="19">
    <w:abstractNumId w:val="14"/>
  </w:num>
  <w:num w:numId="20">
    <w:abstractNumId w:val="18"/>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27FAE"/>
    <w:rsid w:val="00060AD2"/>
    <w:rsid w:val="000625CB"/>
    <w:rsid w:val="00063AB3"/>
    <w:rsid w:val="000842CB"/>
    <w:rsid w:val="000B1445"/>
    <w:rsid w:val="000B2EAB"/>
    <w:rsid w:val="000C4A33"/>
    <w:rsid w:val="000C7D5B"/>
    <w:rsid w:val="000F58D1"/>
    <w:rsid w:val="000F7A0C"/>
    <w:rsid w:val="00110767"/>
    <w:rsid w:val="001766D9"/>
    <w:rsid w:val="001E1F03"/>
    <w:rsid w:val="001F4B04"/>
    <w:rsid w:val="002311FD"/>
    <w:rsid w:val="00237006"/>
    <w:rsid w:val="00265A36"/>
    <w:rsid w:val="002A4EA5"/>
    <w:rsid w:val="002D7761"/>
    <w:rsid w:val="002E1241"/>
    <w:rsid w:val="002E2591"/>
    <w:rsid w:val="002E30EE"/>
    <w:rsid w:val="00346FB6"/>
    <w:rsid w:val="00360293"/>
    <w:rsid w:val="00387B05"/>
    <w:rsid w:val="003B5664"/>
    <w:rsid w:val="003C2A8E"/>
    <w:rsid w:val="003D299A"/>
    <w:rsid w:val="00405D64"/>
    <w:rsid w:val="00505B44"/>
    <w:rsid w:val="00552C49"/>
    <w:rsid w:val="00555B23"/>
    <w:rsid w:val="00565CA0"/>
    <w:rsid w:val="005728AC"/>
    <w:rsid w:val="005A7C0C"/>
    <w:rsid w:val="005E31A9"/>
    <w:rsid w:val="005E43C2"/>
    <w:rsid w:val="00616978"/>
    <w:rsid w:val="00646077"/>
    <w:rsid w:val="00706639"/>
    <w:rsid w:val="00720790"/>
    <w:rsid w:val="00742E0C"/>
    <w:rsid w:val="00796D4B"/>
    <w:rsid w:val="007A5734"/>
    <w:rsid w:val="007B1FF4"/>
    <w:rsid w:val="00801845"/>
    <w:rsid w:val="00810AA0"/>
    <w:rsid w:val="008D0383"/>
    <w:rsid w:val="008F77F6"/>
    <w:rsid w:val="009758E5"/>
    <w:rsid w:val="009B0875"/>
    <w:rsid w:val="009D5429"/>
    <w:rsid w:val="009F52E2"/>
    <w:rsid w:val="00A0401B"/>
    <w:rsid w:val="00AA4D0A"/>
    <w:rsid w:val="00AA6A69"/>
    <w:rsid w:val="00AD5458"/>
    <w:rsid w:val="00AD7D1E"/>
    <w:rsid w:val="00AF3708"/>
    <w:rsid w:val="00B861F5"/>
    <w:rsid w:val="00B96345"/>
    <w:rsid w:val="00BD6325"/>
    <w:rsid w:val="00C37044"/>
    <w:rsid w:val="00CC2032"/>
    <w:rsid w:val="00CC370F"/>
    <w:rsid w:val="00CC7835"/>
    <w:rsid w:val="00D51113"/>
    <w:rsid w:val="00D613A7"/>
    <w:rsid w:val="00D75571"/>
    <w:rsid w:val="00D962CC"/>
    <w:rsid w:val="00DC05CE"/>
    <w:rsid w:val="00DC5FE9"/>
    <w:rsid w:val="00E0562F"/>
    <w:rsid w:val="00E82C93"/>
    <w:rsid w:val="00E83996"/>
    <w:rsid w:val="00E90863"/>
    <w:rsid w:val="00E9367C"/>
    <w:rsid w:val="00F517FE"/>
    <w:rsid w:val="00F629C1"/>
    <w:rsid w:val="00F84485"/>
    <w:rsid w:val="00F85F64"/>
    <w:rsid w:val="00FB3397"/>
    <w:rsid w:val="00FB4178"/>
    <w:rsid w:val="00FB7EFD"/>
    <w:rsid w:val="00FC7C69"/>
    <w:rsid w:val="00FD59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0401B"/>
    <w:pPr>
      <w:ind w:left="720"/>
      <w:contextualSpacing/>
    </w:pPr>
  </w:style>
  <w:style w:type="paragraph" w:styleId="Zkladntextodsazen2">
    <w:name w:val="Body Text Indent 2"/>
    <w:basedOn w:val="Normln"/>
    <w:link w:val="Zkladntextodsazen2Char"/>
    <w:rsid w:val="00B861F5"/>
    <w:pPr>
      <w:spacing w:after="60"/>
      <w:ind w:firstLine="709"/>
      <w:jc w:val="both"/>
    </w:pPr>
    <w:rPr>
      <w:rFonts w:eastAsia="Batang"/>
      <w:sz w:val="22"/>
      <w:szCs w:val="20"/>
    </w:rPr>
  </w:style>
  <w:style w:type="character" w:customStyle="1" w:styleId="Zkladntextodsazen2Char">
    <w:name w:val="Základní text odsazený 2 Char"/>
    <w:basedOn w:val="Standardnpsmoodstavce"/>
    <w:link w:val="Zkladntextodsazen2"/>
    <w:rsid w:val="00B861F5"/>
    <w:rPr>
      <w:rFonts w:ascii="Times New Roman" w:eastAsia="Batang" w:hAnsi="Times New Roman" w:cs="Times New Roman"/>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0401B"/>
    <w:pPr>
      <w:ind w:left="720"/>
      <w:contextualSpacing/>
    </w:pPr>
  </w:style>
  <w:style w:type="paragraph" w:styleId="Zkladntextodsazen2">
    <w:name w:val="Body Text Indent 2"/>
    <w:basedOn w:val="Normln"/>
    <w:link w:val="Zkladntextodsazen2Char"/>
    <w:rsid w:val="00B861F5"/>
    <w:pPr>
      <w:spacing w:after="60"/>
      <w:ind w:firstLine="709"/>
      <w:jc w:val="both"/>
    </w:pPr>
    <w:rPr>
      <w:rFonts w:eastAsia="Batang"/>
      <w:sz w:val="22"/>
      <w:szCs w:val="20"/>
    </w:rPr>
  </w:style>
  <w:style w:type="character" w:customStyle="1" w:styleId="Zkladntextodsazen2Char">
    <w:name w:val="Základní text odsazený 2 Char"/>
    <w:basedOn w:val="Standardnpsmoodstavce"/>
    <w:link w:val="Zkladntextodsazen2"/>
    <w:rsid w:val="00B861F5"/>
    <w:rPr>
      <w:rFonts w:ascii="Times New Roman" w:eastAsia="Batang"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charts/_rels/chart1.xml.rels><?xml version="1.0" encoding="UTF-8" standalone="yes"?>
<Relationships xmlns="http://schemas.openxmlformats.org/package/2006/relationships"><Relationship Id="rId2" Type="http://schemas.openxmlformats.org/officeDocument/2006/relationships/oleObject" Target="file:///C:\Users\filip\Desktop\Materi&#225;l%20rozpo&#269;et\Prilohy%20k%20302%20A1-tab%20srovnavaci%20a%20nadpozadavky_LK.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kurekova\AppData\Local\Temp\notes0F30CA\graf_2_10-03-2015.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cs-CZ" sz="1800" b="1" i="0" baseline="0">
                <a:effectLst/>
              </a:rPr>
              <a:t>Modelování výdajů VaVaI včetně fondů EU </a:t>
            </a:r>
            <a:endParaRPr lang="cs-CZ">
              <a:effectLst/>
            </a:endParaRPr>
          </a:p>
        </c:rich>
      </c:tx>
      <c:layout/>
      <c:overlay val="0"/>
    </c:title>
    <c:autoTitleDeleted val="0"/>
    <c:plotArea>
      <c:layout/>
      <c:lineChart>
        <c:grouping val="standard"/>
        <c:varyColors val="0"/>
        <c:ser>
          <c:idx val="0"/>
          <c:order val="0"/>
          <c:tx>
            <c:strRef>
              <c:f>Modely!$A$41</c:f>
              <c:strCache>
                <c:ptCount val="1"/>
                <c:pt idx="0">
                  <c:v>RVO</c:v>
                </c:pt>
              </c:strCache>
            </c:strRef>
          </c:tx>
          <c:marker>
            <c:symbol val="none"/>
          </c:marker>
          <c:cat>
            <c:numRef>
              <c:f>Modely!$B$40:$K$40</c:f>
              <c:numCache>
                <c:formatCode>#,##0</c:formatCode>
                <c:ptCount val="10"/>
                <c:pt idx="0">
                  <c:v>2014</c:v>
                </c:pt>
                <c:pt idx="1">
                  <c:v>2015</c:v>
                </c:pt>
                <c:pt idx="2">
                  <c:v>2016</c:v>
                </c:pt>
                <c:pt idx="3">
                  <c:v>2017</c:v>
                </c:pt>
                <c:pt idx="4">
                  <c:v>2018</c:v>
                </c:pt>
                <c:pt idx="5">
                  <c:v>2019</c:v>
                </c:pt>
                <c:pt idx="6">
                  <c:v>2020</c:v>
                </c:pt>
                <c:pt idx="7">
                  <c:v>2021</c:v>
                </c:pt>
                <c:pt idx="8">
                  <c:v>2022</c:v>
                </c:pt>
                <c:pt idx="9">
                  <c:v>2023</c:v>
                </c:pt>
              </c:numCache>
            </c:numRef>
          </c:cat>
          <c:val>
            <c:numRef>
              <c:f>Modely!$B$41:$K$41</c:f>
              <c:numCache>
                <c:formatCode>#,##0</c:formatCode>
                <c:ptCount val="10"/>
                <c:pt idx="0">
                  <c:v>9435.6350000000002</c:v>
                </c:pt>
                <c:pt idx="1">
                  <c:v>9519.5519999999997</c:v>
                </c:pt>
                <c:pt idx="2">
                  <c:v>10519</c:v>
                </c:pt>
                <c:pt idx="3">
                  <c:v>10519</c:v>
                </c:pt>
                <c:pt idx="4">
                  <c:v>10519</c:v>
                </c:pt>
              </c:numCache>
            </c:numRef>
          </c:val>
          <c:smooth val="0"/>
        </c:ser>
        <c:ser>
          <c:idx val="1"/>
          <c:order val="1"/>
          <c:tx>
            <c:strRef>
              <c:f>Modely!$A$46</c:f>
              <c:strCache>
                <c:ptCount val="1"/>
                <c:pt idx="0">
                  <c:v>MŠMT celkem</c:v>
                </c:pt>
              </c:strCache>
            </c:strRef>
          </c:tx>
          <c:marker>
            <c:symbol val="none"/>
          </c:marker>
          <c:cat>
            <c:numRef>
              <c:f>Modely!$B$40:$K$40</c:f>
              <c:numCache>
                <c:formatCode>#,##0</c:formatCode>
                <c:ptCount val="10"/>
                <c:pt idx="0">
                  <c:v>2014</c:v>
                </c:pt>
                <c:pt idx="1">
                  <c:v>2015</c:v>
                </c:pt>
                <c:pt idx="2">
                  <c:v>2016</c:v>
                </c:pt>
                <c:pt idx="3">
                  <c:v>2017</c:v>
                </c:pt>
                <c:pt idx="4">
                  <c:v>2018</c:v>
                </c:pt>
                <c:pt idx="5">
                  <c:v>2019</c:v>
                </c:pt>
                <c:pt idx="6">
                  <c:v>2020</c:v>
                </c:pt>
                <c:pt idx="7">
                  <c:v>2021</c:v>
                </c:pt>
                <c:pt idx="8">
                  <c:v>2022</c:v>
                </c:pt>
                <c:pt idx="9">
                  <c:v>2023</c:v>
                </c:pt>
              </c:numCache>
            </c:numRef>
          </c:cat>
          <c:val>
            <c:numRef>
              <c:f>Modely!$B$46:$K$46</c:f>
              <c:numCache>
                <c:formatCode>#,##0</c:formatCode>
                <c:ptCount val="10"/>
                <c:pt idx="0">
                  <c:v>4744.0749999999998</c:v>
                </c:pt>
                <c:pt idx="1">
                  <c:v>5406.8149999999996</c:v>
                </c:pt>
                <c:pt idx="2">
                  <c:v>5406.018</c:v>
                </c:pt>
                <c:pt idx="3">
                  <c:v>5406.3220000000001</c:v>
                </c:pt>
                <c:pt idx="4">
                  <c:v>5664</c:v>
                </c:pt>
              </c:numCache>
            </c:numRef>
          </c:val>
          <c:smooth val="0"/>
        </c:ser>
        <c:ser>
          <c:idx val="2"/>
          <c:order val="2"/>
          <c:tx>
            <c:strRef>
              <c:f>Modely!$A$49</c:f>
              <c:strCache>
                <c:ptCount val="1"/>
                <c:pt idx="0">
                  <c:v>Fondy EU - nové programovací období (ČR + EU zdroje)</c:v>
                </c:pt>
              </c:strCache>
            </c:strRef>
          </c:tx>
          <c:marker>
            <c:symbol val="none"/>
          </c:marker>
          <c:cat>
            <c:numRef>
              <c:f>Modely!$B$40:$K$40</c:f>
              <c:numCache>
                <c:formatCode>#,##0</c:formatCode>
                <c:ptCount val="10"/>
                <c:pt idx="0">
                  <c:v>2014</c:v>
                </c:pt>
                <c:pt idx="1">
                  <c:v>2015</c:v>
                </c:pt>
                <c:pt idx="2">
                  <c:v>2016</c:v>
                </c:pt>
                <c:pt idx="3">
                  <c:v>2017</c:v>
                </c:pt>
                <c:pt idx="4">
                  <c:v>2018</c:v>
                </c:pt>
                <c:pt idx="5">
                  <c:v>2019</c:v>
                </c:pt>
                <c:pt idx="6">
                  <c:v>2020</c:v>
                </c:pt>
                <c:pt idx="7">
                  <c:v>2021</c:v>
                </c:pt>
                <c:pt idx="8">
                  <c:v>2022</c:v>
                </c:pt>
                <c:pt idx="9">
                  <c:v>2023</c:v>
                </c:pt>
              </c:numCache>
            </c:numRef>
          </c:cat>
          <c:val>
            <c:numRef>
              <c:f>Modely!$B$49:$K$49</c:f>
              <c:numCache>
                <c:formatCode>#,##0</c:formatCode>
                <c:ptCount val="10"/>
                <c:pt idx="0">
                  <c:v>0</c:v>
                </c:pt>
                <c:pt idx="1">
                  <c:v>0</c:v>
                </c:pt>
                <c:pt idx="2">
                  <c:v>2941.9965589336134</c:v>
                </c:pt>
                <c:pt idx="3">
                  <c:v>7354.9913973340344</c:v>
                </c:pt>
                <c:pt idx="4">
                  <c:v>19122.977633068484</c:v>
                </c:pt>
                <c:pt idx="5">
                  <c:v>12943.851132088674</c:v>
                </c:pt>
                <c:pt idx="6">
                  <c:v>13407.794750786023</c:v>
                </c:pt>
                <c:pt idx="7">
                  <c:v>14359.323267550857</c:v>
                </c:pt>
                <c:pt idx="8">
                  <c:v>14601.894783534584</c:v>
                </c:pt>
                <c:pt idx="9">
                  <c:v>11497.613848890687</c:v>
                </c:pt>
              </c:numCache>
            </c:numRef>
          </c:val>
          <c:smooth val="0"/>
        </c:ser>
        <c:ser>
          <c:idx val="3"/>
          <c:order val="3"/>
          <c:tx>
            <c:strRef>
              <c:f>Modely!$A$50</c:f>
              <c:strCache>
                <c:ptCount val="1"/>
                <c:pt idx="0">
                  <c:v>GAČR a TAČR granty</c:v>
                </c:pt>
              </c:strCache>
            </c:strRef>
          </c:tx>
          <c:marker>
            <c:symbol val="none"/>
          </c:marker>
          <c:cat>
            <c:numRef>
              <c:f>Modely!$B$40:$K$40</c:f>
              <c:numCache>
                <c:formatCode>#,##0</c:formatCode>
                <c:ptCount val="10"/>
                <c:pt idx="0">
                  <c:v>2014</c:v>
                </c:pt>
                <c:pt idx="1">
                  <c:v>2015</c:v>
                </c:pt>
                <c:pt idx="2">
                  <c:v>2016</c:v>
                </c:pt>
                <c:pt idx="3">
                  <c:v>2017</c:v>
                </c:pt>
                <c:pt idx="4">
                  <c:v>2018</c:v>
                </c:pt>
                <c:pt idx="5">
                  <c:v>2019</c:v>
                </c:pt>
                <c:pt idx="6">
                  <c:v>2020</c:v>
                </c:pt>
                <c:pt idx="7">
                  <c:v>2021</c:v>
                </c:pt>
                <c:pt idx="8">
                  <c:v>2022</c:v>
                </c:pt>
                <c:pt idx="9">
                  <c:v>2023</c:v>
                </c:pt>
              </c:numCache>
            </c:numRef>
          </c:cat>
          <c:val>
            <c:numRef>
              <c:f>Modely!$B$50:$K$50</c:f>
              <c:numCache>
                <c:formatCode>#,##0</c:formatCode>
                <c:ptCount val="10"/>
                <c:pt idx="0">
                  <c:v>6221.3850000000002</c:v>
                </c:pt>
                <c:pt idx="1">
                  <c:v>6325.8609999999999</c:v>
                </c:pt>
                <c:pt idx="2">
                  <c:v>6325.8620000000001</c:v>
                </c:pt>
                <c:pt idx="3">
                  <c:v>6325.8620000000001</c:v>
                </c:pt>
                <c:pt idx="4">
                  <c:v>6326</c:v>
                </c:pt>
              </c:numCache>
            </c:numRef>
          </c:val>
          <c:smooth val="0"/>
        </c:ser>
        <c:ser>
          <c:idx val="4"/>
          <c:order val="4"/>
          <c:tx>
            <c:strRef>
              <c:f>Modely!$A$53</c:f>
              <c:strCache>
                <c:ptCount val="1"/>
                <c:pt idx="0">
                  <c:v>Programy rezortů (MPO, MK, MO, MV, MZd, Mze)</c:v>
                </c:pt>
              </c:strCache>
            </c:strRef>
          </c:tx>
          <c:marker>
            <c:symbol val="none"/>
          </c:marker>
          <c:cat>
            <c:numRef>
              <c:f>Modely!$B$40:$K$40</c:f>
              <c:numCache>
                <c:formatCode>#,##0</c:formatCode>
                <c:ptCount val="10"/>
                <c:pt idx="0">
                  <c:v>2014</c:v>
                </c:pt>
                <c:pt idx="1">
                  <c:v>2015</c:v>
                </c:pt>
                <c:pt idx="2">
                  <c:v>2016</c:v>
                </c:pt>
                <c:pt idx="3">
                  <c:v>2017</c:v>
                </c:pt>
                <c:pt idx="4">
                  <c:v>2018</c:v>
                </c:pt>
                <c:pt idx="5">
                  <c:v>2019</c:v>
                </c:pt>
                <c:pt idx="6">
                  <c:v>2020</c:v>
                </c:pt>
                <c:pt idx="7">
                  <c:v>2021</c:v>
                </c:pt>
                <c:pt idx="8">
                  <c:v>2022</c:v>
                </c:pt>
                <c:pt idx="9">
                  <c:v>2023</c:v>
                </c:pt>
              </c:numCache>
            </c:numRef>
          </c:cat>
          <c:val>
            <c:numRef>
              <c:f>Modely!$B$53:$K$53</c:f>
              <c:numCache>
                <c:formatCode>#,##0</c:formatCode>
                <c:ptCount val="10"/>
                <c:pt idx="0">
                  <c:v>3784.857</c:v>
                </c:pt>
                <c:pt idx="1">
                  <c:v>2831.16</c:v>
                </c:pt>
                <c:pt idx="2">
                  <c:v>2899.3</c:v>
                </c:pt>
                <c:pt idx="3">
                  <c:v>3164.3519999999999</c:v>
                </c:pt>
                <c:pt idx="4">
                  <c:v>3164.1</c:v>
                </c:pt>
              </c:numCache>
            </c:numRef>
          </c:val>
          <c:smooth val="0"/>
        </c:ser>
        <c:ser>
          <c:idx val="5"/>
          <c:order val="5"/>
          <c:tx>
            <c:strRef>
              <c:f>Modely!$A$54</c:f>
              <c:strCache>
                <c:ptCount val="1"/>
                <c:pt idx="0">
                  <c:v>Činnost AV, RVVI, GAČR, TACR + admin rezorty</c:v>
                </c:pt>
              </c:strCache>
            </c:strRef>
          </c:tx>
          <c:marker>
            <c:symbol val="none"/>
          </c:marker>
          <c:cat>
            <c:numRef>
              <c:f>Modely!$B$40:$K$40</c:f>
              <c:numCache>
                <c:formatCode>#,##0</c:formatCode>
                <c:ptCount val="10"/>
                <c:pt idx="0">
                  <c:v>2014</c:v>
                </c:pt>
                <c:pt idx="1">
                  <c:v>2015</c:v>
                </c:pt>
                <c:pt idx="2">
                  <c:v>2016</c:v>
                </c:pt>
                <c:pt idx="3">
                  <c:v>2017</c:v>
                </c:pt>
                <c:pt idx="4">
                  <c:v>2018</c:v>
                </c:pt>
                <c:pt idx="5">
                  <c:v>2019</c:v>
                </c:pt>
                <c:pt idx="6">
                  <c:v>2020</c:v>
                </c:pt>
                <c:pt idx="7">
                  <c:v>2021</c:v>
                </c:pt>
                <c:pt idx="8">
                  <c:v>2022</c:v>
                </c:pt>
                <c:pt idx="9">
                  <c:v>2023</c:v>
                </c:pt>
              </c:numCache>
            </c:numRef>
          </c:cat>
          <c:val>
            <c:numRef>
              <c:f>Modely!$B$54:$K$54</c:f>
              <c:numCache>
                <c:formatCode>#,##0</c:formatCode>
                <c:ptCount val="10"/>
                <c:pt idx="0">
                  <c:v>1745.8219999999999</c:v>
                </c:pt>
                <c:pt idx="1">
                  <c:v>1874.9870000000001</c:v>
                </c:pt>
                <c:pt idx="2">
                  <c:v>1750.71</c:v>
                </c:pt>
                <c:pt idx="3">
                  <c:v>1755.5070000000001</c:v>
                </c:pt>
                <c:pt idx="4">
                  <c:v>1756</c:v>
                </c:pt>
              </c:numCache>
            </c:numRef>
          </c:val>
          <c:smooth val="0"/>
        </c:ser>
        <c:dLbls>
          <c:showLegendKey val="0"/>
          <c:showVal val="0"/>
          <c:showCatName val="0"/>
          <c:showSerName val="0"/>
          <c:showPercent val="0"/>
          <c:showBubbleSize val="0"/>
        </c:dLbls>
        <c:marker val="1"/>
        <c:smooth val="0"/>
        <c:axId val="78027008"/>
        <c:axId val="77733888"/>
      </c:lineChart>
      <c:catAx>
        <c:axId val="78027008"/>
        <c:scaling>
          <c:orientation val="minMax"/>
        </c:scaling>
        <c:delete val="0"/>
        <c:axPos val="b"/>
        <c:numFmt formatCode="#,##0" sourceLinked="1"/>
        <c:majorTickMark val="out"/>
        <c:minorTickMark val="none"/>
        <c:tickLblPos val="nextTo"/>
        <c:crossAx val="77733888"/>
        <c:crosses val="autoZero"/>
        <c:auto val="1"/>
        <c:lblAlgn val="ctr"/>
        <c:lblOffset val="100"/>
        <c:noMultiLvlLbl val="0"/>
      </c:catAx>
      <c:valAx>
        <c:axId val="77733888"/>
        <c:scaling>
          <c:orientation val="minMax"/>
        </c:scaling>
        <c:delete val="0"/>
        <c:axPos val="l"/>
        <c:numFmt formatCode="#,##0" sourceLinked="1"/>
        <c:majorTickMark val="out"/>
        <c:minorTickMark val="none"/>
        <c:tickLblPos val="nextTo"/>
        <c:crossAx val="78027008"/>
        <c:crosses val="autoZero"/>
        <c:crossBetween val="midCat"/>
      </c:valAx>
    </c:plotArea>
    <c:legend>
      <c:legendPos val="r"/>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8175895765472111E-2"/>
          <c:y val="2.5695931477516191E-2"/>
          <c:w val="0.89739413680781754"/>
          <c:h val="0.91006423982869378"/>
        </c:manualLayout>
      </c:layout>
      <c:lineChart>
        <c:grouping val="standard"/>
        <c:varyColors val="0"/>
        <c:ser>
          <c:idx val="0"/>
          <c:order val="0"/>
          <c:tx>
            <c:strRef>
              <c:f>Sheet1_EU!$A$2</c:f>
              <c:strCache>
                <c:ptCount val="1"/>
                <c:pt idx="0">
                  <c:v>skutečnost*</c:v>
                </c:pt>
              </c:strCache>
            </c:strRef>
          </c:tx>
          <c:spPr>
            <a:ln w="38094">
              <a:solidFill>
                <a:srgbClr val="000080"/>
              </a:solidFill>
              <a:prstDash val="solid"/>
            </a:ln>
          </c:spPr>
          <c:marker>
            <c:symbol val="diamond"/>
            <c:size val="8"/>
            <c:spPr>
              <a:solidFill>
                <a:srgbClr val="000080"/>
              </a:solidFill>
              <a:ln>
                <a:solidFill>
                  <a:srgbClr val="000080"/>
                </a:solidFill>
                <a:prstDash val="solid"/>
              </a:ln>
            </c:spPr>
          </c:marker>
          <c:cat>
            <c:numRef>
              <c:f>Sheet1_EU!$B$1:$K$1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Sheet1_EU!$B$2:$K$2</c:f>
              <c:numCache>
                <c:formatCode>General</c:formatCode>
                <c:ptCount val="10"/>
                <c:pt idx="0">
                  <c:v>23122</c:v>
                </c:pt>
                <c:pt idx="1">
                  <c:v>24831</c:v>
                </c:pt>
                <c:pt idx="2">
                  <c:v>25392</c:v>
                </c:pt>
                <c:pt idx="3">
                  <c:v>25918</c:v>
                </c:pt>
                <c:pt idx="4">
                  <c:v>26619</c:v>
                </c:pt>
                <c:pt idx="5">
                  <c:v>26117</c:v>
                </c:pt>
                <c:pt idx="6">
                  <c:v>26635</c:v>
                </c:pt>
                <c:pt idx="7">
                  <c:v>26905</c:v>
                </c:pt>
                <c:pt idx="8">
                  <c:v>26594</c:v>
                </c:pt>
                <c:pt idx="9">
                  <c:v>26572</c:v>
                </c:pt>
              </c:numCache>
            </c:numRef>
          </c:val>
          <c:smooth val="0"/>
        </c:ser>
        <c:ser>
          <c:idx val="1"/>
          <c:order val="1"/>
          <c:tx>
            <c:strRef>
              <c:f>Sheet1_EU!$A$3</c:f>
              <c:strCache>
                <c:ptCount val="1"/>
                <c:pt idx="0">
                  <c:v>skutečnost+EU*</c:v>
                </c:pt>
              </c:strCache>
            </c:strRef>
          </c:tx>
          <c:spPr>
            <a:ln>
              <a:solidFill>
                <a:srgbClr val="8064A2"/>
              </a:solidFill>
            </a:ln>
          </c:spPr>
          <c:marker>
            <c:spPr>
              <a:solidFill>
                <a:srgbClr val="8064A2"/>
              </a:solidFill>
              <a:ln>
                <a:solidFill>
                  <a:srgbClr val="8064A2"/>
                </a:solidFill>
              </a:ln>
            </c:spPr>
          </c:marker>
          <c:cat>
            <c:numRef>
              <c:f>Sheet1_EU!$B$1:$K$1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Sheet1_EU!$B$3:$K$3</c:f>
              <c:numCache>
                <c:formatCode>General</c:formatCode>
                <c:ptCount val="10"/>
                <c:pt idx="0">
                  <c:v>24086</c:v>
                </c:pt>
                <c:pt idx="1">
                  <c:v>26136</c:v>
                </c:pt>
                <c:pt idx="2">
                  <c:v>27608</c:v>
                </c:pt>
                <c:pt idx="3">
                  <c:v>32011.183140000005</c:v>
                </c:pt>
                <c:pt idx="4">
                  <c:v>38241.015260000015</c:v>
                </c:pt>
                <c:pt idx="5">
                  <c:v>38693</c:v>
                </c:pt>
              </c:numCache>
            </c:numRef>
          </c:val>
          <c:smooth val="0"/>
        </c:ser>
        <c:ser>
          <c:idx val="2"/>
          <c:order val="2"/>
          <c:tx>
            <c:strRef>
              <c:f>Sheet1_EU!$A$4</c:f>
              <c:strCache>
                <c:ptCount val="1"/>
                <c:pt idx="0">
                  <c:v>návrh 2011-13</c:v>
                </c:pt>
              </c:strCache>
            </c:strRef>
          </c:tx>
          <c:spPr>
            <a:ln w="12698">
              <a:solidFill>
                <a:srgbClr val="339966"/>
              </a:solidFill>
              <a:prstDash val="solid"/>
            </a:ln>
          </c:spPr>
          <c:marker>
            <c:symbol val="triangle"/>
            <c:size val="4"/>
            <c:spPr>
              <a:solidFill>
                <a:srgbClr val="339966"/>
              </a:solidFill>
              <a:ln>
                <a:solidFill>
                  <a:srgbClr val="339966"/>
                </a:solidFill>
                <a:prstDash val="solid"/>
              </a:ln>
            </c:spPr>
          </c:marker>
          <c:cat>
            <c:numRef>
              <c:f>Sheet1_EU!$B$1:$K$1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Sheet1_EU!$B$4:$K$4</c:f>
              <c:numCache>
                <c:formatCode>General</c:formatCode>
                <c:ptCount val="10"/>
                <c:pt idx="2">
                  <c:v>25392</c:v>
                </c:pt>
                <c:pt idx="3">
                  <c:v>26603</c:v>
                </c:pt>
                <c:pt idx="4">
                  <c:v>26609</c:v>
                </c:pt>
                <c:pt idx="5">
                  <c:v>26609</c:v>
                </c:pt>
              </c:numCache>
            </c:numRef>
          </c:val>
          <c:smooth val="0"/>
        </c:ser>
        <c:ser>
          <c:idx val="3"/>
          <c:order val="3"/>
          <c:tx>
            <c:strRef>
              <c:f>Sheet1_EU!$A$5</c:f>
              <c:strCache>
                <c:ptCount val="1"/>
                <c:pt idx="0">
                  <c:v>návrh 2012-14</c:v>
                </c:pt>
              </c:strCache>
            </c:strRef>
          </c:tx>
          <c:spPr>
            <a:ln w="12698">
              <a:solidFill>
                <a:srgbClr val="00FFFF"/>
              </a:solidFill>
              <a:prstDash val="solid"/>
            </a:ln>
          </c:spPr>
          <c:marker>
            <c:symbol val="x"/>
            <c:size val="4"/>
            <c:spPr>
              <a:noFill/>
              <a:ln>
                <a:solidFill>
                  <a:srgbClr val="00FFFF"/>
                </a:solidFill>
                <a:prstDash val="solid"/>
              </a:ln>
            </c:spPr>
          </c:marker>
          <c:cat>
            <c:numRef>
              <c:f>Sheet1_EU!$B$1:$K$1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Sheet1_EU!$B$5:$K$5</c:f>
              <c:numCache>
                <c:formatCode>General</c:formatCode>
                <c:ptCount val="10"/>
                <c:pt idx="3">
                  <c:v>25918</c:v>
                </c:pt>
                <c:pt idx="4">
                  <c:v>25918</c:v>
                </c:pt>
                <c:pt idx="5">
                  <c:v>25918</c:v>
                </c:pt>
                <c:pt idx="6">
                  <c:v>25918</c:v>
                </c:pt>
              </c:numCache>
            </c:numRef>
          </c:val>
          <c:smooth val="0"/>
        </c:ser>
        <c:ser>
          <c:idx val="4"/>
          <c:order val="4"/>
          <c:tx>
            <c:strRef>
              <c:f>Sheet1_EU!$A$6</c:f>
              <c:strCache>
                <c:ptCount val="1"/>
                <c:pt idx="0">
                  <c:v>návrh 2013-15</c:v>
                </c:pt>
              </c:strCache>
            </c:strRef>
          </c:tx>
          <c:spPr>
            <a:ln w="12698">
              <a:solidFill>
                <a:srgbClr val="800080"/>
              </a:solidFill>
              <a:prstDash val="solid"/>
            </a:ln>
          </c:spPr>
          <c:marker>
            <c:symbol val="star"/>
            <c:size val="4"/>
            <c:spPr>
              <a:noFill/>
              <a:ln>
                <a:solidFill>
                  <a:srgbClr val="800080"/>
                </a:solidFill>
                <a:prstDash val="solid"/>
              </a:ln>
            </c:spPr>
          </c:marker>
          <c:dPt>
            <c:idx val="5"/>
            <c:marker>
              <c:symbol val="star"/>
              <c:size val="6"/>
            </c:marker>
            <c:bubble3D val="0"/>
            <c:spPr>
              <a:ln w="25396">
                <a:solidFill>
                  <a:srgbClr val="800080"/>
                </a:solidFill>
                <a:prstDash val="sysDash"/>
              </a:ln>
            </c:spPr>
          </c:dPt>
          <c:cat>
            <c:numRef>
              <c:f>Sheet1_EU!$B$1:$K$1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Sheet1_EU!$B$6:$K$6</c:f>
              <c:numCache>
                <c:formatCode>General</c:formatCode>
                <c:ptCount val="10"/>
                <c:pt idx="4">
                  <c:v>26619</c:v>
                </c:pt>
                <c:pt idx="5">
                  <c:v>25917</c:v>
                </c:pt>
                <c:pt idx="6">
                  <c:v>25917</c:v>
                </c:pt>
                <c:pt idx="7">
                  <c:v>25917</c:v>
                </c:pt>
              </c:numCache>
            </c:numRef>
          </c:val>
          <c:smooth val="0"/>
        </c:ser>
        <c:ser>
          <c:idx val="5"/>
          <c:order val="5"/>
          <c:tx>
            <c:strRef>
              <c:f>Sheet1_EU!$A$7</c:f>
              <c:strCache>
                <c:ptCount val="1"/>
                <c:pt idx="0">
                  <c:v>návrh 2014-16</c:v>
                </c:pt>
              </c:strCache>
            </c:strRef>
          </c:tx>
          <c:spPr>
            <a:ln w="12698">
              <a:solidFill>
                <a:srgbClr val="800000"/>
              </a:solidFill>
              <a:prstDash val="solid"/>
            </a:ln>
          </c:spPr>
          <c:marker>
            <c:symbol val="circle"/>
            <c:size val="4"/>
            <c:spPr>
              <a:solidFill>
                <a:srgbClr val="800000"/>
              </a:solidFill>
              <a:ln>
                <a:solidFill>
                  <a:srgbClr val="800000"/>
                </a:solidFill>
                <a:prstDash val="solid"/>
              </a:ln>
            </c:spPr>
          </c:marker>
          <c:dPt>
            <c:idx val="7"/>
            <c:marker>
              <c:symbol val="circle"/>
              <c:size val="6"/>
            </c:marker>
            <c:bubble3D val="0"/>
            <c:spPr>
              <a:ln w="25396">
                <a:solidFill>
                  <a:srgbClr val="800000"/>
                </a:solidFill>
                <a:prstDash val="solid"/>
              </a:ln>
            </c:spPr>
          </c:dPt>
          <c:dPt>
            <c:idx val="8"/>
            <c:marker>
              <c:symbol val="circle"/>
              <c:size val="6"/>
            </c:marker>
            <c:bubble3D val="0"/>
            <c:spPr>
              <a:ln w="25396">
                <a:solidFill>
                  <a:srgbClr val="800000"/>
                </a:solidFill>
                <a:prstDash val="solid"/>
              </a:ln>
            </c:spPr>
          </c:dPt>
          <c:cat>
            <c:numRef>
              <c:f>Sheet1_EU!$B$1:$K$1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Sheet1_EU!$B$7:$K$7</c:f>
              <c:numCache>
                <c:formatCode>General</c:formatCode>
                <c:ptCount val="10"/>
                <c:pt idx="5">
                  <c:v>26117</c:v>
                </c:pt>
                <c:pt idx="6">
                  <c:v>26618</c:v>
                </c:pt>
                <c:pt idx="7">
                  <c:v>27718</c:v>
                </c:pt>
                <c:pt idx="8">
                  <c:v>28018</c:v>
                </c:pt>
              </c:numCache>
            </c:numRef>
          </c:val>
          <c:smooth val="0"/>
        </c:ser>
        <c:ser>
          <c:idx val="6"/>
          <c:order val="6"/>
          <c:tx>
            <c:strRef>
              <c:f>Sheet1_EU!$A$8</c:f>
              <c:strCache>
                <c:ptCount val="1"/>
                <c:pt idx="0">
                  <c:v>návrh 2015-17</c:v>
                </c:pt>
              </c:strCache>
            </c:strRef>
          </c:tx>
          <c:spPr>
            <a:ln w="25396">
              <a:solidFill>
                <a:srgbClr val="008080"/>
              </a:solidFill>
              <a:prstDash val="solid"/>
            </a:ln>
          </c:spPr>
          <c:marker>
            <c:symbol val="plus"/>
            <c:size val="6"/>
            <c:spPr>
              <a:noFill/>
              <a:ln>
                <a:solidFill>
                  <a:srgbClr val="008080"/>
                </a:solidFill>
                <a:prstDash val="solid"/>
              </a:ln>
            </c:spPr>
          </c:marker>
          <c:dPt>
            <c:idx val="7"/>
            <c:bubble3D val="0"/>
            <c:spPr>
              <a:ln w="25396">
                <a:solidFill>
                  <a:srgbClr val="008080"/>
                </a:solidFill>
                <a:prstDash val="sysDash"/>
              </a:ln>
            </c:spPr>
          </c:dPt>
          <c:cat>
            <c:numRef>
              <c:f>Sheet1_EU!$B$1:$K$1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Sheet1_EU!$B$8:$K$8</c:f>
              <c:numCache>
                <c:formatCode>General</c:formatCode>
                <c:ptCount val="10"/>
                <c:pt idx="6">
                  <c:v>26635</c:v>
                </c:pt>
                <c:pt idx="7">
                  <c:v>29417</c:v>
                </c:pt>
                <c:pt idx="8">
                  <c:v>30592</c:v>
                </c:pt>
                <c:pt idx="9">
                  <c:v>31880</c:v>
                </c:pt>
              </c:numCache>
            </c:numRef>
          </c:val>
          <c:smooth val="0"/>
        </c:ser>
        <c:ser>
          <c:idx val="7"/>
          <c:order val="7"/>
          <c:tx>
            <c:strRef>
              <c:f>Sheet1_EU!$A$9</c:f>
              <c:strCache>
                <c:ptCount val="1"/>
                <c:pt idx="0">
                  <c:v>Reforma 2008</c:v>
                </c:pt>
              </c:strCache>
            </c:strRef>
          </c:tx>
          <c:spPr>
            <a:ln w="25396">
              <a:solidFill>
                <a:srgbClr val="FF0000"/>
              </a:solidFill>
              <a:prstDash val="solid"/>
            </a:ln>
          </c:spPr>
          <c:marker>
            <c:symbol val="x"/>
            <c:size val="6"/>
            <c:spPr>
              <a:noFill/>
              <a:ln>
                <a:solidFill>
                  <a:srgbClr val="FF0000"/>
                </a:solidFill>
                <a:prstDash val="solid"/>
              </a:ln>
            </c:spPr>
          </c:marker>
          <c:cat>
            <c:numRef>
              <c:f>Sheet1_EU!$B$1:$K$1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Sheet1_EU!$B$9:$K$9</c:f>
              <c:numCache>
                <c:formatCode>General</c:formatCode>
                <c:ptCount val="10"/>
                <c:pt idx="0">
                  <c:v>23122</c:v>
                </c:pt>
                <c:pt idx="1">
                  <c:v>24972</c:v>
                </c:pt>
                <c:pt idx="2">
                  <c:v>26970</c:v>
                </c:pt>
                <c:pt idx="3">
                  <c:v>29127</c:v>
                </c:pt>
                <c:pt idx="4">
                  <c:v>31457</c:v>
                </c:pt>
                <c:pt idx="5">
                  <c:v>33974</c:v>
                </c:pt>
                <c:pt idx="6">
                  <c:v>36692</c:v>
                </c:pt>
                <c:pt idx="7">
                  <c:v>39627</c:v>
                </c:pt>
                <c:pt idx="8">
                  <c:v>42797</c:v>
                </c:pt>
                <c:pt idx="9">
                  <c:v>46221</c:v>
                </c:pt>
              </c:numCache>
            </c:numRef>
          </c:val>
          <c:smooth val="0"/>
        </c:ser>
        <c:dLbls>
          <c:showLegendKey val="0"/>
          <c:showVal val="0"/>
          <c:showCatName val="0"/>
          <c:showSerName val="0"/>
          <c:showPercent val="0"/>
          <c:showBubbleSize val="0"/>
        </c:dLbls>
        <c:marker val="1"/>
        <c:smooth val="0"/>
        <c:axId val="77863936"/>
        <c:axId val="77886592"/>
      </c:lineChart>
      <c:catAx>
        <c:axId val="7786393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cs-CZ"/>
          </a:p>
        </c:txPr>
        <c:crossAx val="77886592"/>
        <c:crosses val="autoZero"/>
        <c:auto val="1"/>
        <c:lblAlgn val="ctr"/>
        <c:lblOffset val="100"/>
        <c:tickLblSkip val="1"/>
        <c:tickMarkSkip val="1"/>
        <c:noMultiLvlLbl val="0"/>
      </c:catAx>
      <c:valAx>
        <c:axId val="77886592"/>
        <c:scaling>
          <c:orientation val="minMax"/>
          <c:min val="22500"/>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cs-CZ"/>
          </a:p>
        </c:txPr>
        <c:crossAx val="77863936"/>
        <c:crosses val="autoZero"/>
        <c:crossBetween val="midCat"/>
      </c:valAx>
      <c:spPr>
        <a:noFill/>
        <a:ln w="12698">
          <a:solidFill>
            <a:srgbClr val="000000"/>
          </a:solidFill>
          <a:prstDash val="solid"/>
        </a:ln>
      </c:spPr>
    </c:plotArea>
    <c:legend>
      <c:legendPos val="r"/>
      <c:layout>
        <c:manualLayout>
          <c:xMode val="edge"/>
          <c:yMode val="edge"/>
          <c:x val="0.10085256766605152"/>
          <c:y val="6.2584524583503082E-2"/>
          <c:w val="0.21863976920240341"/>
          <c:h val="0.50494358778069404"/>
        </c:manualLayout>
      </c:layout>
      <c:overlay val="0"/>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cs-CZ"/>
        </a:p>
      </c:txPr>
    </c:legend>
    <c:plotVisOnly val="1"/>
    <c:dispBlanksAs val="gap"/>
    <c:showDLblsOverMax val="0"/>
  </c:chart>
  <c:spPr>
    <a:noFill/>
    <a:ln>
      <a:noFill/>
    </a:ln>
  </c:spPr>
  <c:txPr>
    <a:bodyPr/>
    <a:lstStyle/>
    <a:p>
      <a:pPr>
        <a:defRPr sz="1775" b="1" i="0" u="none" strike="noStrike" baseline="0">
          <a:solidFill>
            <a:srgbClr val="000000"/>
          </a:solidFill>
          <a:latin typeface="Arial"/>
          <a:ea typeface="Arial"/>
          <a:cs typeface="Arial"/>
        </a:defRPr>
      </a:pPr>
      <a:endParaRPr lang="cs-CZ"/>
    </a:p>
  </c:txPr>
  <c:externalData r:id="rId2">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A4337-850F-4525-82CC-9C2F96D69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2466</Words>
  <Characters>14552</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8</cp:revision>
  <cp:lastPrinted>2015-08-19T10:53:00Z</cp:lastPrinted>
  <dcterms:created xsi:type="dcterms:W3CDTF">2015-08-19T06:36:00Z</dcterms:created>
  <dcterms:modified xsi:type="dcterms:W3CDTF">2015-08-19T10:53:00Z</dcterms:modified>
</cp:coreProperties>
</file>